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2E82" w14:textId="67A69214" w:rsidR="00763978" w:rsidRPr="00763978" w:rsidRDefault="00763978" w:rsidP="00763978">
      <w:pPr>
        <w:jc w:val="center"/>
        <w:rPr>
          <w:rFonts w:ascii="Calibri" w:hAnsi="Calibri"/>
          <w:b/>
          <w:sz w:val="44"/>
          <w:szCs w:val="44"/>
        </w:rPr>
      </w:pPr>
      <w:r w:rsidRPr="00763978">
        <w:rPr>
          <w:rFonts w:ascii="Calibri" w:hAnsi="Calibri"/>
          <w:b/>
          <w:sz w:val="44"/>
          <w:szCs w:val="44"/>
        </w:rPr>
        <w:t>DATA GOVERNANCE SELF-ASSESSMENT</w:t>
      </w:r>
    </w:p>
    <w:p w14:paraId="5A336C0A" w14:textId="77777777" w:rsidR="00763978" w:rsidRDefault="00763978" w:rsidP="006B0AED">
      <w:pPr>
        <w:rPr>
          <w:rFonts w:ascii="Arial" w:hAnsi="Arial" w:cs="Arial"/>
          <w:b/>
          <w:sz w:val="22"/>
          <w:szCs w:val="22"/>
        </w:rPr>
      </w:pPr>
    </w:p>
    <w:p w14:paraId="01C48FEE" w14:textId="4F50A7C6" w:rsidR="00763978" w:rsidRPr="00A87041" w:rsidRDefault="002314AB" w:rsidP="007639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College:</w:t>
      </w:r>
      <w:r w:rsidR="00763978" w:rsidRPr="00A87041">
        <w:rPr>
          <w:rFonts w:ascii="Arial" w:hAnsi="Arial" w:cs="Arial"/>
          <w:b/>
          <w:sz w:val="22"/>
          <w:szCs w:val="22"/>
        </w:rPr>
        <w:t xml:space="preserve"> </w:t>
      </w:r>
      <w:r w:rsidR="00763978" w:rsidRPr="00D802A8">
        <w:rPr>
          <w:rFonts w:ascii="Arial" w:hAnsi="Arial" w:cs="Arial"/>
          <w:b/>
          <w:sz w:val="22"/>
          <w:szCs w:val="22"/>
          <w:u w:val="single"/>
        </w:rPr>
        <w:t>_</w:t>
      </w:r>
      <w:r w:rsidR="00D802A8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>________________________________</w:t>
      </w:r>
      <w:r w:rsidR="00763978" w:rsidRPr="00D802A8">
        <w:rPr>
          <w:rFonts w:ascii="Arial" w:hAnsi="Arial" w:cs="Arial"/>
          <w:b/>
          <w:sz w:val="22"/>
          <w:szCs w:val="22"/>
          <w:u w:val="single"/>
        </w:rPr>
        <w:t>____</w:t>
      </w:r>
      <w:r w:rsidR="00763978" w:rsidRPr="00A87041">
        <w:rPr>
          <w:rFonts w:ascii="Arial" w:hAnsi="Arial" w:cs="Arial"/>
          <w:b/>
          <w:sz w:val="22"/>
          <w:szCs w:val="22"/>
        </w:rPr>
        <w:tab/>
      </w:r>
      <w:r w:rsidR="00763978" w:rsidRPr="00A87041">
        <w:rPr>
          <w:rFonts w:ascii="Arial" w:hAnsi="Arial" w:cs="Arial"/>
          <w:b/>
          <w:sz w:val="22"/>
          <w:szCs w:val="22"/>
        </w:rPr>
        <w:tab/>
      </w:r>
      <w:r w:rsidR="00763978" w:rsidRPr="00A87041">
        <w:rPr>
          <w:rFonts w:ascii="Arial" w:hAnsi="Arial" w:cs="Arial"/>
          <w:b/>
          <w:sz w:val="22"/>
          <w:szCs w:val="22"/>
        </w:rPr>
        <w:tab/>
        <w:t>Date: ___________________</w:t>
      </w:r>
    </w:p>
    <w:p w14:paraId="6CD25E32" w14:textId="77777777" w:rsidR="00763978" w:rsidRPr="002E71F0" w:rsidRDefault="00763978" w:rsidP="00763978">
      <w:pPr>
        <w:rPr>
          <w:rFonts w:asciiTheme="majorHAnsi" w:hAnsiTheme="majorHAnsi" w:cs="Arial"/>
          <w:sz w:val="22"/>
          <w:szCs w:val="22"/>
        </w:rPr>
      </w:pPr>
    </w:p>
    <w:p w14:paraId="5E7696F6" w14:textId="570376FB" w:rsidR="00763978" w:rsidRPr="00D802A8" w:rsidRDefault="00763978" w:rsidP="00D802A8">
      <w:pPr>
        <w:shd w:val="clear" w:color="auto" w:fill="FFFFFF" w:themeFill="background1"/>
        <w:spacing w:after="120"/>
        <w:rPr>
          <w:rFonts w:asciiTheme="majorHAnsi" w:hAnsiTheme="majorHAnsi"/>
        </w:rPr>
      </w:pPr>
      <w:r w:rsidRPr="61314F5F">
        <w:rPr>
          <w:rFonts w:asciiTheme="majorHAnsi" w:hAnsiTheme="majorHAnsi"/>
        </w:rPr>
        <w:t xml:space="preserve">This tool is designed to help your </w:t>
      </w:r>
      <w:r>
        <w:rPr>
          <w:rFonts w:asciiTheme="majorHAnsi" w:hAnsiTheme="majorHAnsi"/>
        </w:rPr>
        <w:t>organizatio</w:t>
      </w:r>
      <w:bookmarkStart w:id="0" w:name="_GoBack"/>
      <w:bookmarkEnd w:id="0"/>
      <w:r>
        <w:rPr>
          <w:rFonts w:asciiTheme="majorHAnsi" w:hAnsiTheme="majorHAnsi"/>
        </w:rPr>
        <w:t>n</w:t>
      </w:r>
      <w:r w:rsidRPr="61314F5F">
        <w:rPr>
          <w:rFonts w:asciiTheme="majorHAnsi" w:hAnsiTheme="majorHAnsi"/>
        </w:rPr>
        <w:t xml:space="preserve"> assess </w:t>
      </w:r>
      <w:r>
        <w:rPr>
          <w:rFonts w:asciiTheme="majorHAnsi" w:hAnsiTheme="majorHAnsi"/>
        </w:rPr>
        <w:t>the current status of its organizational data governance. It is suggested</w:t>
      </w:r>
      <w:r w:rsidRPr="61314F5F">
        <w:rPr>
          <w:rFonts w:asciiTheme="majorHAnsi" w:hAnsiTheme="majorHAnsi"/>
        </w:rPr>
        <w:t xml:space="preserve"> that you convene a local cross-functional </w:t>
      </w:r>
      <w:r>
        <w:rPr>
          <w:rFonts w:asciiTheme="majorHAnsi" w:hAnsiTheme="majorHAnsi"/>
        </w:rPr>
        <w:t>team within</w:t>
      </w:r>
      <w:r w:rsidRPr="61314F5F">
        <w:rPr>
          <w:rFonts w:asciiTheme="majorHAnsi" w:hAnsiTheme="majorHAnsi"/>
        </w:rPr>
        <w:t xml:space="preserve"> your </w:t>
      </w:r>
      <w:r>
        <w:rPr>
          <w:rFonts w:asciiTheme="majorHAnsi" w:hAnsiTheme="majorHAnsi"/>
        </w:rPr>
        <w:t>organization</w:t>
      </w:r>
      <w:r w:rsidRPr="61314F5F">
        <w:rPr>
          <w:rFonts w:asciiTheme="majorHAnsi" w:hAnsiTheme="majorHAnsi"/>
        </w:rPr>
        <w:t xml:space="preserve"> to discuss the extent to </w:t>
      </w:r>
      <w:r>
        <w:rPr>
          <w:rFonts w:asciiTheme="majorHAnsi" w:hAnsiTheme="majorHAnsi"/>
        </w:rPr>
        <w:t xml:space="preserve">which each essential </w:t>
      </w:r>
      <w:r w:rsidRPr="61314F5F">
        <w:rPr>
          <w:rFonts w:asciiTheme="majorHAnsi" w:hAnsiTheme="majorHAnsi"/>
        </w:rPr>
        <w:t xml:space="preserve">practice listed in the </w:t>
      </w:r>
      <w:r w:rsidRPr="61314F5F">
        <w:rPr>
          <w:rFonts w:asciiTheme="majorHAnsi" w:hAnsiTheme="majorHAnsi"/>
          <w:u w:val="single"/>
        </w:rPr>
        <w:t>first column</w:t>
      </w:r>
      <w:r w:rsidRPr="61314F5F">
        <w:rPr>
          <w:rFonts w:asciiTheme="majorHAnsi" w:hAnsiTheme="majorHAnsi"/>
        </w:rPr>
        <w:t xml:space="preserve"> of the tool is currently implemented </w:t>
      </w:r>
      <w:r w:rsidR="0023280D" w:rsidRPr="00F26131">
        <w:rPr>
          <w:rFonts w:asciiTheme="majorHAnsi" w:hAnsiTheme="majorHAnsi"/>
          <w:u w:val="single"/>
        </w:rPr>
        <w:t>in</w:t>
      </w:r>
      <w:r w:rsidRPr="00F26131">
        <w:rPr>
          <w:rFonts w:asciiTheme="majorHAnsi" w:hAnsiTheme="majorHAnsi"/>
          <w:u w:val="single"/>
        </w:rPr>
        <w:t xml:space="preserve"> your organization</w:t>
      </w:r>
      <w:r w:rsidRPr="61314F5F">
        <w:rPr>
          <w:rFonts w:asciiTheme="majorHAnsi" w:hAnsiTheme="majorHAnsi"/>
        </w:rPr>
        <w:t xml:space="preserve">. </w:t>
      </w:r>
      <w:r w:rsidR="0036320A">
        <w:rPr>
          <w:rFonts w:asciiTheme="majorHAnsi" w:hAnsiTheme="majorHAnsi"/>
        </w:rPr>
        <w:t xml:space="preserve">It is recommended that team members include </w:t>
      </w:r>
      <w:r w:rsidR="002314AB">
        <w:rPr>
          <w:rFonts w:asciiTheme="majorHAnsi" w:hAnsiTheme="majorHAnsi"/>
        </w:rPr>
        <w:t>a mix of technical and functional staff at your college</w:t>
      </w:r>
      <w:r w:rsidR="0036320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Teams should identify </w:t>
      </w:r>
      <w:r w:rsidRPr="61314F5F">
        <w:rPr>
          <w:rFonts w:asciiTheme="majorHAnsi" w:hAnsiTheme="majorHAnsi"/>
        </w:rPr>
        <w:t xml:space="preserve">the </w:t>
      </w:r>
      <w:r w:rsidR="0023280D" w:rsidRPr="61314F5F">
        <w:rPr>
          <w:rFonts w:asciiTheme="majorHAnsi" w:hAnsiTheme="majorHAnsi"/>
        </w:rPr>
        <w:t>degree</w:t>
      </w:r>
      <w:r w:rsidRPr="61314F5F">
        <w:rPr>
          <w:rFonts w:asciiTheme="majorHAnsi" w:hAnsiTheme="majorHAnsi"/>
        </w:rPr>
        <w:t xml:space="preserve"> to which the </w:t>
      </w:r>
      <w:r>
        <w:rPr>
          <w:rFonts w:asciiTheme="majorHAnsi" w:hAnsiTheme="majorHAnsi"/>
        </w:rPr>
        <w:t xml:space="preserve">essential </w:t>
      </w:r>
      <w:r w:rsidRPr="61314F5F">
        <w:rPr>
          <w:rFonts w:asciiTheme="majorHAnsi" w:hAnsiTheme="majorHAnsi"/>
        </w:rPr>
        <w:t xml:space="preserve">practices have been adopted </w:t>
      </w:r>
      <w:r>
        <w:rPr>
          <w:rFonts w:asciiTheme="majorHAnsi" w:hAnsiTheme="majorHAnsi"/>
        </w:rPr>
        <w:t>within their organization based on the rubric options identified i</w:t>
      </w:r>
      <w:r w:rsidRPr="61314F5F">
        <w:rPr>
          <w:rFonts w:asciiTheme="majorHAnsi" w:hAnsiTheme="majorHAnsi"/>
        </w:rPr>
        <w:t xml:space="preserve">n the </w:t>
      </w:r>
      <w:r w:rsidRPr="61314F5F"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  <w:u w:val="single"/>
        </w:rPr>
        <w:t>, third, fourth, and fifth</w:t>
      </w:r>
      <w:r w:rsidRPr="61314F5F">
        <w:rPr>
          <w:rFonts w:asciiTheme="majorHAnsi" w:hAnsiTheme="majorHAnsi"/>
          <w:u w:val="single"/>
        </w:rPr>
        <w:t xml:space="preserve"> column</w:t>
      </w:r>
      <w:r>
        <w:rPr>
          <w:rFonts w:asciiTheme="majorHAnsi" w:hAnsiTheme="majorHAnsi"/>
          <w:u w:val="single"/>
        </w:rPr>
        <w:t>s</w:t>
      </w:r>
      <w:r>
        <w:rPr>
          <w:rFonts w:asciiTheme="majorHAnsi" w:hAnsiTheme="majorHAnsi"/>
        </w:rPr>
        <w:t>. Below each essential practice, teams should provide comments and evidence that support the decided ranking.</w:t>
      </w:r>
    </w:p>
    <w:p w14:paraId="4D17BAD6" w14:textId="3AF8705F" w:rsidR="0036320A" w:rsidRDefault="00763978" w:rsidP="00D802A8">
      <w:pPr>
        <w:shd w:val="clear" w:color="auto" w:fill="FFFFFF" w:themeFill="background1"/>
        <w:spacing w:after="120"/>
        <w:rPr>
          <w:rFonts w:asciiTheme="majorHAnsi" w:hAnsiTheme="majorHAnsi" w:cs="Arial"/>
        </w:rPr>
      </w:pPr>
      <w:r w:rsidRPr="61314F5F">
        <w:rPr>
          <w:rFonts w:asciiTheme="majorHAnsi" w:hAnsiTheme="majorHAnsi"/>
          <w:i/>
          <w:iCs/>
        </w:rPr>
        <w:t xml:space="preserve">Don’t be concerned if your </w:t>
      </w:r>
      <w:r>
        <w:rPr>
          <w:rFonts w:asciiTheme="majorHAnsi" w:hAnsiTheme="majorHAnsi"/>
          <w:i/>
          <w:iCs/>
        </w:rPr>
        <w:t>organization</w:t>
      </w:r>
      <w:r w:rsidRPr="61314F5F">
        <w:rPr>
          <w:rFonts w:asciiTheme="majorHAnsi" w:hAnsiTheme="majorHAnsi"/>
          <w:i/>
          <w:iCs/>
        </w:rPr>
        <w:t xml:space="preserve"> has made little progress implementing any given </w:t>
      </w:r>
      <w:r>
        <w:rPr>
          <w:rFonts w:asciiTheme="majorHAnsi" w:hAnsiTheme="majorHAnsi"/>
          <w:i/>
          <w:iCs/>
        </w:rPr>
        <w:t xml:space="preserve">essential </w:t>
      </w:r>
      <w:r w:rsidRPr="61314F5F">
        <w:rPr>
          <w:rFonts w:asciiTheme="majorHAnsi" w:hAnsiTheme="majorHAnsi"/>
          <w:i/>
          <w:iCs/>
        </w:rPr>
        <w:t xml:space="preserve">practice.  This assessment will help your </w:t>
      </w:r>
      <w:r>
        <w:rPr>
          <w:rFonts w:asciiTheme="majorHAnsi" w:hAnsiTheme="majorHAnsi"/>
          <w:i/>
          <w:iCs/>
        </w:rPr>
        <w:t>organization</w:t>
      </w:r>
      <w:r w:rsidR="00D802A8">
        <w:rPr>
          <w:rFonts w:asciiTheme="majorHAnsi" w:hAnsiTheme="majorHAnsi"/>
          <w:i/>
          <w:iCs/>
        </w:rPr>
        <w:t xml:space="preserve"> </w:t>
      </w:r>
      <w:r w:rsidRPr="61314F5F">
        <w:rPr>
          <w:rFonts w:asciiTheme="majorHAnsi" w:hAnsiTheme="majorHAnsi"/>
          <w:i/>
          <w:iCs/>
        </w:rPr>
        <w:t xml:space="preserve">establish a baseline and develop a plan for implementing </w:t>
      </w:r>
      <w:r>
        <w:rPr>
          <w:rFonts w:asciiTheme="majorHAnsi" w:hAnsiTheme="majorHAnsi"/>
          <w:i/>
          <w:iCs/>
        </w:rPr>
        <w:t>the essential practices</w:t>
      </w:r>
      <w:r w:rsidRPr="61314F5F">
        <w:rPr>
          <w:rFonts w:asciiTheme="majorHAnsi" w:hAnsiTheme="majorHAnsi"/>
          <w:i/>
          <w:iCs/>
        </w:rPr>
        <w:t xml:space="preserve"> at scale</w:t>
      </w:r>
      <w:r w:rsidRPr="61314F5F">
        <w:rPr>
          <w:rFonts w:asciiTheme="majorHAnsi" w:hAnsiTheme="majorHAnsi"/>
        </w:rPr>
        <w:t>.</w:t>
      </w:r>
      <w:r w:rsidRPr="61314F5F">
        <w:rPr>
          <w:rFonts w:asciiTheme="majorHAnsi" w:hAnsiTheme="majorHAnsi" w:cs="Arial"/>
        </w:rPr>
        <w:t xml:space="preserve"> </w:t>
      </w:r>
    </w:p>
    <w:p w14:paraId="797175F8" w14:textId="224D0553" w:rsidR="0036320A" w:rsidRDefault="0036320A" w:rsidP="00BA1D8C">
      <w:pPr>
        <w:shd w:val="clear" w:color="auto" w:fill="FFFFFF" w:themeFill="background1"/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 identify who served on the team to complete the Data Governance Self-Assessment:</w:t>
      </w:r>
    </w:p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5385"/>
        <w:gridCol w:w="4585"/>
      </w:tblGrid>
      <w:tr w:rsidR="00286A1F" w:rsidRPr="0036320A" w14:paraId="409F1A79" w14:textId="7A254B98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81624BA" w14:textId="77777777" w:rsidR="00286A1F" w:rsidRPr="0036320A" w:rsidRDefault="00286A1F" w:rsidP="0036320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Name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448BC205" w14:textId="77777777" w:rsidR="00286A1F" w:rsidRPr="0036320A" w:rsidRDefault="00286A1F" w:rsidP="0036320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Staff Position Title</w:t>
            </w:r>
          </w:p>
        </w:tc>
        <w:tc>
          <w:tcPr>
            <w:tcW w:w="4585" w:type="dxa"/>
          </w:tcPr>
          <w:p w14:paraId="03D21077" w14:textId="5A898D28" w:rsidR="00286A1F" w:rsidRPr="0036320A" w:rsidRDefault="00286A1F" w:rsidP="0036320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Role within Data Governance</w:t>
            </w:r>
          </w:p>
        </w:tc>
      </w:tr>
      <w:tr w:rsidR="00286A1F" w:rsidRPr="0036320A" w14:paraId="203C6056" w14:textId="2CCE5DA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32C779F0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299DA7D5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</w:tcPr>
          <w:p w14:paraId="03EBA0E5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A1F" w:rsidRPr="0036320A" w14:paraId="11FCC1B6" w14:textId="018820C6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748816F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439A5006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</w:tcPr>
          <w:p w14:paraId="5E5E0C84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A1F" w:rsidRPr="0036320A" w14:paraId="6CD05CF8" w14:textId="591313D2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8A01A31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211990AF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</w:tcPr>
          <w:p w14:paraId="4BEC4BDC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4AB" w:rsidRPr="0036320A" w14:paraId="2C6B6814" w14:textId="7777777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14:paraId="410DDD57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noWrap/>
            <w:vAlign w:val="bottom"/>
          </w:tcPr>
          <w:p w14:paraId="4BF11AD6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</w:tcPr>
          <w:p w14:paraId="7B9F6179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4AB" w:rsidRPr="0036320A" w14:paraId="577CBF19" w14:textId="7777777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14:paraId="27072DEB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noWrap/>
            <w:vAlign w:val="bottom"/>
          </w:tcPr>
          <w:p w14:paraId="597946B1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C99E898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4AB" w:rsidRPr="0036320A" w14:paraId="210F84EE" w14:textId="7777777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14:paraId="04433B7E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noWrap/>
            <w:vAlign w:val="bottom"/>
          </w:tcPr>
          <w:p w14:paraId="224DF291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35F7B72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A1F" w:rsidRPr="0036320A" w14:paraId="10A50B3C" w14:textId="43271854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08B764E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51464A81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</w:tcPr>
          <w:p w14:paraId="4DDD2D73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A1F" w:rsidRPr="0036320A" w14:paraId="620C5050" w14:textId="392573F0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6ACC481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shd w:val="clear" w:color="auto" w:fill="auto"/>
            <w:noWrap/>
            <w:vAlign w:val="bottom"/>
            <w:hideMark/>
          </w:tcPr>
          <w:p w14:paraId="4CFB5C2F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5" w:type="dxa"/>
          </w:tcPr>
          <w:p w14:paraId="6CDD8BE3" w14:textId="77777777" w:rsidR="00286A1F" w:rsidRPr="0036320A" w:rsidRDefault="00286A1F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4AB" w:rsidRPr="0036320A" w14:paraId="5BF64DB8" w14:textId="7777777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14:paraId="55CC54F3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noWrap/>
            <w:vAlign w:val="bottom"/>
          </w:tcPr>
          <w:p w14:paraId="1AE3D90E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</w:tcPr>
          <w:p w14:paraId="320A9B58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314AB" w:rsidRPr="0036320A" w14:paraId="13FD5ED8" w14:textId="77777777" w:rsidTr="002314AB">
        <w:trPr>
          <w:trHeight w:val="285"/>
          <w:jc w:val="center"/>
        </w:trPr>
        <w:tc>
          <w:tcPr>
            <w:tcW w:w="2980" w:type="dxa"/>
            <w:shd w:val="clear" w:color="auto" w:fill="auto"/>
            <w:noWrap/>
            <w:vAlign w:val="bottom"/>
          </w:tcPr>
          <w:p w14:paraId="66919615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  <w:noWrap/>
            <w:vAlign w:val="bottom"/>
          </w:tcPr>
          <w:p w14:paraId="7A37827C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</w:tcPr>
          <w:p w14:paraId="3E95CD9A" w14:textId="77777777" w:rsidR="002314AB" w:rsidRPr="0036320A" w:rsidRDefault="002314AB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FD201D0" w14:textId="0F4611B5" w:rsidR="0036320A" w:rsidRPr="00A2731F" w:rsidRDefault="0036320A" w:rsidP="00763978">
      <w:pPr>
        <w:shd w:val="clear" w:color="auto" w:fill="FFFFFF" w:themeFill="background1"/>
        <w:rPr>
          <w:rFonts w:asciiTheme="majorHAnsi" w:hAnsiTheme="majorHAnsi" w:cs="Arial"/>
          <w:sz w:val="10"/>
          <w:szCs w:val="10"/>
        </w:rPr>
      </w:pPr>
    </w:p>
    <w:p w14:paraId="4173B6AD" w14:textId="77777777" w:rsidR="002314AB" w:rsidRDefault="002314AB" w:rsidP="00763978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7A496B31" w14:textId="67BBFE8B" w:rsidR="002314AB" w:rsidRDefault="002314AB" w:rsidP="00763978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3220F9E2" w14:textId="77777777" w:rsidR="002314AB" w:rsidRDefault="002314AB" w:rsidP="00763978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7F761D87" w14:textId="77777777" w:rsidR="002314AB" w:rsidRDefault="002314AB" w:rsidP="00763978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3B590DA4" w14:textId="6DA21E6D" w:rsidR="002D2D2F" w:rsidRPr="002D2D2F" w:rsidRDefault="002D2D2F" w:rsidP="00763978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  <w:r w:rsidRPr="002D2D2F">
        <w:rPr>
          <w:rFonts w:asciiTheme="majorHAnsi" w:hAnsiTheme="majorHAnsi" w:cs="Arial"/>
          <w:b/>
          <w:i/>
          <w:sz w:val="32"/>
          <w:szCs w:val="32"/>
        </w:rPr>
        <w:lastRenderedPageBreak/>
        <w:t>Domain 1: Documentation to Support Data Understanding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3"/>
        <w:gridCol w:w="1969"/>
        <w:gridCol w:w="2511"/>
        <w:gridCol w:w="2454"/>
        <w:gridCol w:w="3343"/>
      </w:tblGrid>
      <w:tr w:rsidR="0023280D" w:rsidRPr="0036320A" w14:paraId="14F8D910" w14:textId="77777777" w:rsidTr="003632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7525" w14:textId="34BA749D" w:rsidR="0036320A" w:rsidRPr="0023280D" w:rsidRDefault="0036320A" w:rsidP="0036320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D8CB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11B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F16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9682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23280D" w:rsidRPr="0036320A" w14:paraId="0DF16136" w14:textId="77777777" w:rsidTr="0023280D">
        <w:trPr>
          <w:trHeight w:val="2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FA81" w14:textId="15930B6A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Standardized Name for Data Elements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Data elements are assigned a standardized name by which the data element is called everywhere in the organization</w:t>
            </w:r>
            <w:r w:rsidR="0023280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and data element names are documented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E979" w14:textId="03059B46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names for data elements are not documented or known within the organization.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B327" w14:textId="7B91C3FB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names for data elements are inconsistently assigned and inconsistently documented. Names for data elements are inconsistently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C418" w14:textId="2218650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Most data elements are assigned a standardized name. Most data element names are documented. Names for most data elements are 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C055" w14:textId="659E73BF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data elements are assigned a standardized name. All data element names are documented via a central resource e.g. data dictionary, data system manual, etc. Names for all data elements are consistently known among staff or staff know where data element names are documented.</w:t>
            </w:r>
            <w:r w:rsidR="001B2C8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320A" w:rsidRPr="0036320A" w14:paraId="0F21640A" w14:textId="77777777" w:rsidTr="0036320A">
        <w:trPr>
          <w:trHeight w:val="10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B106A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23280D" w:rsidRPr="0036320A" w14:paraId="674E2551" w14:textId="77777777" w:rsidTr="0036320A">
        <w:trPr>
          <w:trHeight w:val="3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8996" w14:textId="245C0D5F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Standardized Definition for Data Elements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Data elements are assigned a standardized definition, the definition is documented in a central resource, and staff understand the definition.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F8F2" w14:textId="589D424F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definitions for data elements are not documented or known within the organization.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2374" w14:textId="19653EDE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definitions for data elements are inconsistently assigned and inconsistently documented. Definitions for data elements are inconsistently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E665" w14:textId="5C2984DE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Most data element definitions are assigned. Most data element definitions are documented. Definitions for most data elements are 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6E95" w14:textId="2AB9E47A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data elements are assigned a standardized definition. All data element definitions are documented via a central resource e.g. data dictionary, data system manual, etc. Definitions for all data elements are consistently known among staff or staff know where data element definitions are documented.</w:t>
            </w:r>
          </w:p>
        </w:tc>
      </w:tr>
      <w:tr w:rsidR="0036320A" w:rsidRPr="0036320A" w14:paraId="11B854A1" w14:textId="77777777" w:rsidTr="0036320A">
        <w:trPr>
          <w:trHeight w:val="117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FA7070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6DDD8CB0" w14:textId="46AE1DA8" w:rsidR="00D26016" w:rsidRDefault="002314AB"/>
    <w:p w14:paraId="20B49EA2" w14:textId="4C367635" w:rsidR="0023280D" w:rsidRDefault="0023280D"/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2251"/>
        <w:gridCol w:w="2523"/>
        <w:gridCol w:w="2519"/>
        <w:gridCol w:w="2916"/>
      </w:tblGrid>
      <w:tr w:rsidR="0036320A" w:rsidRPr="0036320A" w14:paraId="5FA7B631" w14:textId="77777777" w:rsidTr="003632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51CE" w14:textId="768C041B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23280D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F6FE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017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44A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DF1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36320A" w:rsidRPr="0036320A" w14:paraId="32D9E4C6" w14:textId="77777777" w:rsidTr="0036320A">
        <w:trPr>
          <w:trHeight w:val="3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6884" w14:textId="34D747F0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Rules for Derived/Calculated Data Elements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Rules for derived/calculated data elements are documented in a central resource, and staff understand the rules for derived/calculated data elements.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6D51" w14:textId="718E1641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rules for derived/calculated data elements are not documented or known within the organization.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7C57" w14:textId="387EDE09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rules for derived/calculated data elements are inconsistently documented. Standardized rules for derived/calculated data elements are inconsistently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ED1F" w14:textId="7618BE35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standardized rules for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most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derived/calculated data elements are documented. Standardized rules for most derived/calculated data elements are consistently known among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9E18" w14:textId="2E45E746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Standardized rules for all derived/calculated data elements are documented via a central resource e.g. data dictionary, data system manual, etc. Standardized rules for all derived/calculated data elements are consistently known among staff or staff know where the rules are documented.</w:t>
            </w:r>
          </w:p>
        </w:tc>
      </w:tr>
      <w:tr w:rsidR="0036320A" w:rsidRPr="0036320A" w14:paraId="2C479455" w14:textId="77777777" w:rsidTr="0036320A">
        <w:trPr>
          <w:trHeight w:val="131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2A428A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36320A" w:rsidRPr="0036320A" w14:paraId="55A1EF7A" w14:textId="77777777" w:rsidTr="0036320A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3F71" w14:textId="78171558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Known Location of Data </w:t>
            </w:r>
            <w:r w:rsidR="0036320A" w:rsidRPr="002D2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Elements in a Database i.e. Metadata</w:t>
            </w:r>
            <w:r w:rsidR="00FF6A09" w:rsidRPr="002D2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with data lineage </w:t>
            </w:r>
            <w:r w:rsidR="00744822" w:rsidRPr="002D2D2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(process for collecting data, data origin, and where data is stored) </w:t>
            </w:r>
            <w:r w:rsidR="0036320A" w:rsidRPr="002D2D2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36320A" w:rsidRPr="002D2D2F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 sole metadata exists and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is populated for the organizations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C597" w14:textId="4AC6312F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Metadata is not collected for the organizations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0F25" w14:textId="3059C03A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Metadata is inconsistently collected for the organizations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B762" w14:textId="0D9B7BF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central metadata is the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primary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location for all metadata. Metadata is collected for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most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organizations data systems.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2C9A" w14:textId="5E4EF175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Metadata is collected for the organizations data systems in one central metadata solution.</w:t>
            </w:r>
          </w:p>
        </w:tc>
      </w:tr>
      <w:tr w:rsidR="0036320A" w:rsidRPr="0036320A" w14:paraId="326CF062" w14:textId="77777777" w:rsidTr="0036320A">
        <w:trPr>
          <w:trHeight w:val="14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D0BDD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609C7E4E" w14:textId="77777777" w:rsidR="002314AB" w:rsidRDefault="002314AB" w:rsidP="002D2D2F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06CBD0D1" w14:textId="361F0F58" w:rsidR="002D2D2F" w:rsidRPr="002D2D2F" w:rsidRDefault="002D2D2F" w:rsidP="002D2D2F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  <w:r w:rsidRPr="002D2D2F">
        <w:rPr>
          <w:rFonts w:asciiTheme="majorHAnsi" w:hAnsiTheme="majorHAnsi" w:cs="Arial"/>
          <w:b/>
          <w:i/>
          <w:sz w:val="32"/>
          <w:szCs w:val="32"/>
        </w:rPr>
        <w:lastRenderedPageBreak/>
        <w:t xml:space="preserve">Domain </w:t>
      </w:r>
      <w:r>
        <w:rPr>
          <w:rFonts w:asciiTheme="majorHAnsi" w:hAnsiTheme="majorHAnsi" w:cs="Arial"/>
          <w:b/>
          <w:i/>
          <w:sz w:val="32"/>
          <w:szCs w:val="32"/>
        </w:rPr>
        <w:t>2</w:t>
      </w:r>
      <w:r w:rsidRPr="002D2D2F">
        <w:rPr>
          <w:rFonts w:asciiTheme="majorHAnsi" w:hAnsiTheme="majorHAnsi" w:cs="Arial"/>
          <w:b/>
          <w:i/>
          <w:sz w:val="32"/>
          <w:szCs w:val="32"/>
        </w:rPr>
        <w:t>:</w:t>
      </w:r>
      <w:r w:rsidR="002D71D6">
        <w:rPr>
          <w:rFonts w:asciiTheme="majorHAnsi" w:hAnsiTheme="majorHAnsi" w:cs="Arial"/>
          <w:b/>
          <w:i/>
          <w:sz w:val="32"/>
          <w:szCs w:val="32"/>
        </w:rPr>
        <w:t xml:space="preserve"> Supporting</w:t>
      </w:r>
      <w:r w:rsidRPr="002D2D2F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i/>
          <w:sz w:val="32"/>
          <w:szCs w:val="32"/>
        </w:rPr>
        <w:t>Da</w:t>
      </w:r>
      <w:r w:rsidR="00647461">
        <w:rPr>
          <w:rFonts w:asciiTheme="majorHAnsi" w:hAnsiTheme="majorHAnsi" w:cs="Arial"/>
          <w:b/>
          <w:i/>
          <w:sz w:val="32"/>
          <w:szCs w:val="32"/>
        </w:rPr>
        <w:t xml:space="preserve">ta Quality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3"/>
        <w:gridCol w:w="1871"/>
        <w:gridCol w:w="2502"/>
        <w:gridCol w:w="2637"/>
        <w:gridCol w:w="3007"/>
      </w:tblGrid>
      <w:tr w:rsidR="0023280D" w:rsidRPr="0036320A" w14:paraId="71F7140A" w14:textId="77777777" w:rsidTr="003632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3EAB" w14:textId="748679DD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13BD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FF9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361A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AB1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23280D" w:rsidRPr="0036320A" w14:paraId="14635EE8" w14:textId="77777777" w:rsidTr="0036320A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BAB2" w14:textId="19EA971A" w:rsidR="0036320A" w:rsidRPr="003D3F28" w:rsidRDefault="003D3F28" w:rsidP="003D3F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6320A" w:rsidRPr="003D3F2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Rules for Creating New Data Elements</w:t>
            </w:r>
            <w:r w:rsidR="0036320A" w:rsidRPr="003D3F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="0036320A" w:rsidRPr="003D3F2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developed rules for creating new data elements, the rules are documented and </w:t>
            </w:r>
            <w:r w:rsidR="0023280D" w:rsidRPr="003D3F2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followed</w:t>
            </w:r>
            <w:r w:rsidR="0036320A" w:rsidRPr="003D3F2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and staff are aware of the rules.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0A44" w14:textId="1E754B4B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There are no rules for creating new data elements.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B71C" w14:textId="14D64BAC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Rules for creating new data elements exist, but they are not documented and are inconsistently followed. Few staff are aware that rules for creating new data elements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6FEE" w14:textId="4E759B54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Rules for creating new data elements exist and are documented, and they are followed most of the time. Most staff are aware that rules for creating new data elements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F798" w14:textId="10D4D1A4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Rules for creating new data elements exist, the rules are documented, and the rules must be followed in order for a new data element to  be created. Staff are aware of the rules for creating new data elements or staff know where the rules are documented.</w:t>
            </w:r>
          </w:p>
        </w:tc>
      </w:tr>
      <w:tr w:rsidR="0036320A" w:rsidRPr="0036320A" w14:paraId="0B739F80" w14:textId="77777777" w:rsidTr="0036320A">
        <w:trPr>
          <w:trHeight w:val="14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CB835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23280D" w:rsidRPr="0036320A" w14:paraId="0981BE75" w14:textId="77777777" w:rsidTr="0036320A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A799" w14:textId="3467D5F9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Quality Rules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developed data quality rules and has documented the rules for </w:t>
            </w:r>
            <w:proofErr w:type="gramStart"/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all of</w:t>
            </w:r>
            <w:proofErr w:type="gramEnd"/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organizations data. The organization also has data quality reports auto-generated on a schedule so staff can correct data</w:t>
            </w:r>
            <w:r w:rsidR="0023280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error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77F8" w14:textId="7EBBDEC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quality rules do not exist. Data quality auditing to correct </w:t>
            </w:r>
            <w:r w:rsidR="002328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in error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not conducted.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169" w14:textId="11964236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quality auditing is done manually on an ad hoc basis. Data quality rules </w:t>
            </w:r>
            <w:proofErr w:type="gramStart"/>
            <w:r w:rsidR="002328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exist, but</w:t>
            </w:r>
            <w:proofErr w:type="gramEnd"/>
            <w:r w:rsidR="002328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are inconsistently documented.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9B73" w14:textId="065C79E6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quality reports to support data cleansing are routinely generated for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most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organizations data. Data quality rules to correct errored data are documented for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most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organizations data.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09B" w14:textId="0776F99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quality reports to support data cleansing are auto-generated for </w:t>
            </w:r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all</w:t>
            </w: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 the organizations data. Data quality rules to correct errored data are documented for </w:t>
            </w:r>
            <w:proofErr w:type="gramStart"/>
            <w:r w:rsidRPr="0023280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all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</w:t>
            </w:r>
            <w:proofErr w:type="gramEnd"/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organizations data.</w:t>
            </w:r>
          </w:p>
        </w:tc>
      </w:tr>
      <w:tr w:rsidR="0036320A" w:rsidRPr="0036320A" w14:paraId="73FA2D04" w14:textId="77777777" w:rsidTr="0036320A">
        <w:trPr>
          <w:trHeight w:val="14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74414E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3E2F0B58" w14:textId="7002974B" w:rsidR="0036320A" w:rsidRDefault="0036320A"/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256"/>
        <w:gridCol w:w="1900"/>
        <w:gridCol w:w="2367"/>
        <w:gridCol w:w="2729"/>
        <w:gridCol w:w="2698"/>
      </w:tblGrid>
      <w:tr w:rsidR="00647461" w:rsidRPr="0036320A" w14:paraId="6A983151" w14:textId="77777777" w:rsidTr="0064746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12E6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 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3D2" w14:textId="77777777" w:rsidR="00647461" w:rsidRPr="0036320A" w:rsidRDefault="00647461" w:rsidP="006474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933" w14:textId="77777777" w:rsidR="00647461" w:rsidRPr="0036320A" w:rsidRDefault="00647461" w:rsidP="006474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888" w14:textId="77777777" w:rsidR="00647461" w:rsidRPr="0036320A" w:rsidRDefault="00647461" w:rsidP="006474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EC0" w14:textId="77777777" w:rsidR="00647461" w:rsidRPr="0036320A" w:rsidRDefault="00647461" w:rsidP="0064746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647461" w:rsidRPr="0036320A" w14:paraId="040F2B31" w14:textId="77777777" w:rsidTr="00647461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DAE6" w14:textId="211C3EC5" w:rsidR="00647461" w:rsidRPr="0036320A" w:rsidRDefault="003D3F28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647461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Data Elements and/or Data Systems have an Assigned Data Steward/Owner </w:t>
            </w:r>
            <w:r w:rsidR="00647461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The organization has assigned a data steward/owner for all data and has defined the responsibilities and decision-making power of each data steward/owner. The organization has also enacted a cross-functional data stewardship board to ensure input in decision making is solicited from all relevant business functions.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87AA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does not have an assigned data steward/owner.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63FE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has an assigned data steward/owner with defined responsibilities and decision making power, but the data steward/owner operates in silo without business function input.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DBF2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has an assigned data steward/owner with defined responsibilities and decision making power. Data steward/owner solicits input from representatives of multiple business functions in the decision-making processes as they deem appropriate.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9021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has an assigned data steward/owner with defined responsibilities and decision making power. A data stewardship board exists as a mechanism to ensure input is solicited in the decision-making process from all relevant business functions.</w:t>
            </w:r>
          </w:p>
        </w:tc>
      </w:tr>
      <w:tr w:rsidR="00647461" w:rsidRPr="0036320A" w14:paraId="62CBB5E9" w14:textId="77777777" w:rsidTr="00647461">
        <w:trPr>
          <w:trHeight w:val="96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F8AB2D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647461" w:rsidRPr="0036320A" w14:paraId="1623E90D" w14:textId="77777777" w:rsidTr="00647461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A04F" w14:textId="5665F5F4" w:rsidR="00647461" w:rsidRPr="0036320A" w:rsidRDefault="003D3F28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d. </w:t>
            </w:r>
            <w:r w:rsidR="00647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Inventories Are Regularly Conducted</w:t>
            </w:r>
            <w:r w:rsidR="00647461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7461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</w:t>
            </w:r>
            <w:r w:rsidR="0064746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 process of routinely inventorying its data to assess what data elements are collected and stored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  <w:r w:rsidR="0064746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practice supports other practices of data governance e.g. assigning standardized names and definitions of data elements, metadata updates,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C96C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does not have a process of inventorying its data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FC17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a process of inventorying its data, but it is not routinely conducted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DF9D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a process of inventorying its data, and it is routinely conducted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However, this process is not connected to other data governance practices e.g. if an inventory reveals a new data element, the uncovered element is not documented.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5B2F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a process of inventorying its data, and it is routinely conducted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process of inventorying data supports other essential practices such as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assigning standardized names and definitions of data elements, metadata updates, etc.</w:t>
            </w:r>
          </w:p>
        </w:tc>
      </w:tr>
      <w:tr w:rsidR="00647461" w:rsidRPr="0036320A" w14:paraId="5AD6D774" w14:textId="77777777" w:rsidTr="00647461">
        <w:trPr>
          <w:trHeight w:val="10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05C6E" w14:textId="7777777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4BF79A3B" w14:textId="77777777" w:rsidR="00647461" w:rsidRDefault="00647461" w:rsidP="00647461">
      <w:pPr>
        <w:shd w:val="clear" w:color="auto" w:fill="FFFFFF" w:themeFill="background1"/>
        <w:rPr>
          <w:rFonts w:asciiTheme="majorHAnsi" w:hAnsiTheme="majorHAnsi" w:cs="Arial"/>
          <w:b/>
          <w:i/>
          <w:sz w:val="32"/>
          <w:szCs w:val="32"/>
        </w:rPr>
      </w:pPr>
    </w:p>
    <w:p w14:paraId="2E730438" w14:textId="7F1461C4" w:rsidR="0036320A" w:rsidRDefault="00647461" w:rsidP="00647461">
      <w:pPr>
        <w:shd w:val="clear" w:color="auto" w:fill="FFFFFF" w:themeFill="background1"/>
      </w:pPr>
      <w:r w:rsidRPr="002D2D2F">
        <w:rPr>
          <w:rFonts w:asciiTheme="majorHAnsi" w:hAnsiTheme="majorHAnsi" w:cs="Arial"/>
          <w:b/>
          <w:i/>
          <w:sz w:val="32"/>
          <w:szCs w:val="32"/>
        </w:rPr>
        <w:lastRenderedPageBreak/>
        <w:t xml:space="preserve">Domain </w:t>
      </w:r>
      <w:r>
        <w:rPr>
          <w:rFonts w:asciiTheme="majorHAnsi" w:hAnsiTheme="majorHAnsi" w:cs="Arial"/>
          <w:b/>
          <w:i/>
          <w:sz w:val="32"/>
          <w:szCs w:val="32"/>
        </w:rPr>
        <w:t>3</w:t>
      </w:r>
      <w:r w:rsidRPr="002D2D2F">
        <w:rPr>
          <w:rFonts w:asciiTheme="majorHAnsi" w:hAnsiTheme="majorHAnsi" w:cs="Arial"/>
          <w:b/>
          <w:i/>
          <w:sz w:val="32"/>
          <w:szCs w:val="32"/>
        </w:rPr>
        <w:t xml:space="preserve">: </w:t>
      </w:r>
      <w:r>
        <w:rPr>
          <w:rFonts w:asciiTheme="majorHAnsi" w:hAnsiTheme="majorHAnsi" w:cs="Arial"/>
          <w:b/>
          <w:i/>
          <w:sz w:val="32"/>
          <w:szCs w:val="32"/>
        </w:rPr>
        <w:t>Data Security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2"/>
        <w:gridCol w:w="1563"/>
        <w:gridCol w:w="2373"/>
        <w:gridCol w:w="2256"/>
        <w:gridCol w:w="2806"/>
      </w:tblGrid>
      <w:tr w:rsidR="00A31A2B" w:rsidRPr="0036320A" w14:paraId="53F83C3D" w14:textId="77777777" w:rsidTr="003632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6A43" w14:textId="65FE0F70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23280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6BDF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AA0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C8D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3F3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A31A2B" w:rsidRPr="0036320A" w14:paraId="63E6707E" w14:textId="77777777" w:rsidTr="0036320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DDA1" w14:textId="0B7B4E97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Data Access Rules 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established rules for assigning staff access to data. Data access rules are documented and </w:t>
            </w:r>
            <w:r w:rsidR="0023280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followed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promote data security.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51CA" w14:textId="0909529B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access is randomly assigned.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863A" w14:textId="6A21D948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Rules for assigning staff access to data exist, but they are not documented and are inconsistently followed.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42BA" w14:textId="77777777" w:rsidR="0036320A" w:rsidRPr="0036320A" w:rsidRDefault="0036320A" w:rsidP="0036320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A35F" w14:textId="2F999253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Rules for assigning staff access to data exist, and they are documented. </w:t>
            </w:r>
            <w:proofErr w:type="gramStart"/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order for</w:t>
            </w:r>
            <w:proofErr w:type="gramEnd"/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staff to be given access to data, the data access rules must be followed.</w:t>
            </w:r>
          </w:p>
        </w:tc>
      </w:tr>
      <w:tr w:rsidR="0036320A" w:rsidRPr="0036320A" w14:paraId="4BE8B942" w14:textId="77777777" w:rsidTr="0036320A">
        <w:trPr>
          <w:trHeight w:val="140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66AB7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A31A2B" w:rsidRPr="0036320A" w14:paraId="7FA05947" w14:textId="77777777" w:rsidTr="0036320A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FD75" w14:textId="220F2A64" w:rsidR="0036320A" w:rsidRPr="0036320A" w:rsidRDefault="003D3F28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Data Usage Rules</w:t>
            </w:r>
            <w:r w:rsidR="006108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(Internal)</w:t>
            </w:r>
            <w:r w:rsidR="0036320A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20A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The organization has established rules for data usage</w:t>
            </w:r>
            <w:r w:rsidR="00A31A2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such as data usage ethics/data privacy that align with local policy and state and federal laws.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31A2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</w:t>
            </w:r>
            <w:r w:rsidR="0036320A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hese rules are documented, and staff are trained on data usage rules when data access is granted.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3B3C" w14:textId="318F3499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usage rules do not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3C73" w14:textId="5DE19F22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usage rules exist, but they are not documented and are inconsistently followed.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E79" w14:textId="33A2B51E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 usage rules exist, and they are documented. Most staff are aware that data usage rules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18BA" w14:textId="3A9E01CC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usage rules exist, and they are documented. </w:t>
            </w:r>
            <w:r w:rsidR="0023280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taff are trained on data usage rules at the time data access is granted.</w:t>
            </w:r>
          </w:p>
        </w:tc>
      </w:tr>
      <w:tr w:rsidR="0036320A" w:rsidRPr="0036320A" w14:paraId="744DEC85" w14:textId="77777777" w:rsidTr="0036320A">
        <w:trPr>
          <w:trHeight w:val="15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E0476" w14:textId="77777777" w:rsidR="0036320A" w:rsidRPr="0036320A" w:rsidRDefault="0036320A" w:rsidP="003632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2A4C278F" w14:textId="05F1A728" w:rsidR="0036320A" w:rsidRDefault="0036320A"/>
    <w:p w14:paraId="22A66D6B" w14:textId="65C06B13" w:rsidR="0036320A" w:rsidRDefault="0036320A"/>
    <w:p w14:paraId="21D8A380" w14:textId="45B2A726" w:rsidR="0036320A" w:rsidRDefault="0036320A"/>
    <w:p w14:paraId="71C34866" w14:textId="77777777" w:rsidR="00E80C1A" w:rsidRDefault="00E80C1A"/>
    <w:p w14:paraId="566A4924" w14:textId="4684C45E" w:rsidR="0036320A" w:rsidRDefault="0036320A"/>
    <w:p w14:paraId="6E6E1F44" w14:textId="11B25ABC" w:rsidR="0036320A" w:rsidRDefault="0036320A"/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1646"/>
        <w:gridCol w:w="2691"/>
        <w:gridCol w:w="2307"/>
        <w:gridCol w:w="2974"/>
      </w:tblGrid>
      <w:tr w:rsidR="00610816" w:rsidRPr="0036320A" w14:paraId="43A18BAF" w14:textId="77777777" w:rsidTr="00F207D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16BC" w14:textId="77777777" w:rsidR="00465BAB" w:rsidRPr="0036320A" w:rsidRDefault="00465BAB" w:rsidP="00F207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9E8" w14:textId="77777777" w:rsidR="00465BAB" w:rsidRPr="0036320A" w:rsidRDefault="00465BAB" w:rsidP="00F20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DA6D" w14:textId="77777777" w:rsidR="00465BAB" w:rsidRPr="0036320A" w:rsidRDefault="00465BAB" w:rsidP="00F20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CF0" w14:textId="77777777" w:rsidR="00465BAB" w:rsidRPr="0036320A" w:rsidRDefault="00465BAB" w:rsidP="00F20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7E5" w14:textId="77777777" w:rsidR="00465BAB" w:rsidRPr="0036320A" w:rsidRDefault="00465BAB" w:rsidP="00F207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610816" w:rsidRPr="0036320A" w14:paraId="1B12FBAB" w14:textId="77777777" w:rsidTr="00F207DD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9D34" w14:textId="122C2080" w:rsidR="00465BAB" w:rsidRPr="0036320A" w:rsidRDefault="003D3F28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465BAB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 w:rsidR="00465B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Sharing</w:t>
            </w:r>
            <w:r w:rsidR="00465BAB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Rules</w:t>
            </w:r>
            <w:r w:rsidR="006108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(External)</w:t>
            </w:r>
            <w:r w:rsidR="00465BAB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BAB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established rules for data </w:t>
            </w:r>
            <w:r w:rsidR="0061081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sharing such as public records request processes or data sharing agreements</w:t>
            </w:r>
            <w:r w:rsidR="00465BA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that align with local policy and state and federal laws.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65BA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hese rules are documented, and staff are trained on data </w:t>
            </w:r>
            <w:r w:rsidR="00610816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sharing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rules when data access is granted.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AB8E" w14:textId="4E1EEE55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do not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545B" w14:textId="4B5F2548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exist, but they are not documented and are inconsistently followed.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04DE" w14:textId="49EA3402" w:rsidR="00465BAB" w:rsidRPr="0036320A" w:rsidRDefault="00465BAB" w:rsidP="00465B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exist, and they are documented. Most staff are aware that 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exist.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A260" w14:textId="489DF177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exist, and they are documented.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 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taff are trained on data </w:t>
            </w:r>
            <w:r w:rsidR="006108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sharing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rules at the time data access is granted.</w:t>
            </w:r>
          </w:p>
        </w:tc>
      </w:tr>
      <w:tr w:rsidR="00465BAB" w:rsidRPr="0036320A" w14:paraId="33D42B07" w14:textId="77777777" w:rsidTr="00F207DD">
        <w:trPr>
          <w:trHeight w:val="140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4D8AD7" w14:textId="77777777" w:rsidR="00465BAB" w:rsidRPr="0036320A" w:rsidRDefault="00465BAB" w:rsidP="00F207D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610816" w:rsidRPr="0036320A" w14:paraId="4A6E08E7" w14:textId="77777777" w:rsidTr="00F207DD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8BF9" w14:textId="7EA7757C" w:rsidR="00465BAB" w:rsidRPr="0036320A" w:rsidRDefault="003D3F28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d. </w:t>
            </w:r>
            <w:r w:rsidR="00465B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Data Destruction </w:t>
            </w:r>
            <w:r w:rsidR="00465BAB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has </w:t>
            </w:r>
            <w:r w:rsidR="00465BA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documented rules and routinely assesses for the destruction of data i.e. data retention policy, methods of data destruction, and staff responsible for conducting data destruction</w:t>
            </w:r>
            <w:r w:rsidR="00465BAB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6E4" w14:textId="704BABB0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does not have rules for data destruction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0759" w14:textId="6F00518C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rules for the destruction of data, but the rules are not documented. Data destruction occurs at random; there is no standardized routine of engaging in the data destruction process.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B819" w14:textId="4FA84E52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rules for the destruction of data and routinely engages in the data destruction process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Data destruction rules are documented.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7DF6" w14:textId="2DF75E5E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rules for the destruction of data and routinely engages in the data destruction process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Data destruction rules are documented. Designated staff coordinate the destruction process to ensure compliance with data destruction rules.</w:t>
            </w:r>
          </w:p>
        </w:tc>
      </w:tr>
      <w:tr w:rsidR="00465BAB" w:rsidRPr="0036320A" w14:paraId="2D13537E" w14:textId="77777777" w:rsidTr="00F207DD">
        <w:trPr>
          <w:trHeight w:val="15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86B25" w14:textId="4B42B188" w:rsidR="00465BAB" w:rsidRPr="0036320A" w:rsidRDefault="00465BAB" w:rsidP="00465BA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586DCDBC" w14:textId="077A78B2" w:rsidR="00647461" w:rsidRDefault="00647461"/>
    <w:p w14:paraId="0074FE83" w14:textId="2354A3C2" w:rsidR="00647461" w:rsidRDefault="00647461"/>
    <w:p w14:paraId="4988713B" w14:textId="63D778E3" w:rsidR="004A19FE" w:rsidRDefault="00647461" w:rsidP="00647461">
      <w:pPr>
        <w:shd w:val="clear" w:color="auto" w:fill="FFFFFF" w:themeFill="background1"/>
      </w:pPr>
      <w:r w:rsidRPr="002D2D2F">
        <w:rPr>
          <w:rFonts w:asciiTheme="majorHAnsi" w:hAnsiTheme="majorHAnsi" w:cs="Arial"/>
          <w:b/>
          <w:i/>
          <w:sz w:val="32"/>
          <w:szCs w:val="32"/>
        </w:rPr>
        <w:lastRenderedPageBreak/>
        <w:t xml:space="preserve">Domain </w:t>
      </w:r>
      <w:r>
        <w:rPr>
          <w:rFonts w:asciiTheme="majorHAnsi" w:hAnsiTheme="majorHAnsi" w:cs="Arial"/>
          <w:b/>
          <w:i/>
          <w:sz w:val="32"/>
          <w:szCs w:val="32"/>
        </w:rPr>
        <w:t>4</w:t>
      </w:r>
      <w:r w:rsidRPr="002D2D2F">
        <w:rPr>
          <w:rFonts w:asciiTheme="majorHAnsi" w:hAnsiTheme="majorHAnsi" w:cs="Arial"/>
          <w:b/>
          <w:i/>
          <w:sz w:val="32"/>
          <w:szCs w:val="32"/>
        </w:rPr>
        <w:t xml:space="preserve">: </w:t>
      </w:r>
      <w:r>
        <w:rPr>
          <w:rFonts w:asciiTheme="majorHAnsi" w:hAnsiTheme="majorHAnsi" w:cs="Arial"/>
          <w:b/>
          <w:i/>
          <w:sz w:val="32"/>
          <w:szCs w:val="32"/>
        </w:rPr>
        <w:t>Strategic Data Use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7"/>
        <w:gridCol w:w="1667"/>
        <w:gridCol w:w="3042"/>
        <w:gridCol w:w="2953"/>
        <w:gridCol w:w="3111"/>
      </w:tblGrid>
      <w:tr w:rsidR="00647461" w:rsidRPr="0036320A" w14:paraId="5C977949" w14:textId="77777777" w:rsidTr="00BA4FD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7CEE" w14:textId="77777777" w:rsidR="004A19FE" w:rsidRPr="0036320A" w:rsidRDefault="004A19FE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104" w14:textId="77777777" w:rsidR="004A19FE" w:rsidRPr="0036320A" w:rsidRDefault="004A19FE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607" w14:textId="77777777" w:rsidR="004A19FE" w:rsidRPr="0036320A" w:rsidRDefault="004A19FE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0A2" w14:textId="77777777" w:rsidR="004A19FE" w:rsidRPr="0036320A" w:rsidRDefault="004A19FE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BBE" w14:textId="77777777" w:rsidR="004A19FE" w:rsidRPr="0036320A" w:rsidRDefault="004A19FE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647461" w:rsidRPr="0036320A" w14:paraId="0E5EA42B" w14:textId="77777777" w:rsidTr="00BA4FD0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C760" w14:textId="434E3EAA" w:rsidR="00647461" w:rsidRPr="0036320A" w:rsidRDefault="003D3F28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647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Goal-Setting </w:t>
            </w:r>
            <w:r w:rsidR="00647461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</w:t>
            </w:r>
            <w:r w:rsidR="0064746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identifies measurable goals derived from analysis and staff are aware of goals.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9041" w14:textId="6A0E40BE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does not have measurable goals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FA68" w14:textId="29D7CB67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established goals, but these goals are not informed by analysis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Awareness of goals is limited to only a few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5E19" w14:textId="43928AEA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established goals, and these goals are informed by analysis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Awareness of goals is limited to only a few staff.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914A" w14:textId="49E04DEC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has established goals, and these goals are informed by analysis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shares its goals with staff to build organizational awareness.</w:t>
            </w:r>
          </w:p>
        </w:tc>
      </w:tr>
      <w:tr w:rsidR="004A19FE" w:rsidRPr="0036320A" w14:paraId="4E3E8AB9" w14:textId="77777777" w:rsidTr="00BA4FD0">
        <w:trPr>
          <w:trHeight w:val="96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CC8C1" w14:textId="77777777" w:rsidR="004A19FE" w:rsidRPr="0036320A" w:rsidRDefault="004A19FE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  <w:tr w:rsidR="00647461" w:rsidRPr="0036320A" w14:paraId="38264063" w14:textId="77777777" w:rsidTr="00BA4FD0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C9A7" w14:textId="5AC39E3A" w:rsidR="00647461" w:rsidRPr="0036320A" w:rsidRDefault="003D3F28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647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Program Evaluation </w:t>
            </w:r>
            <w:r w:rsidR="00647461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</w:t>
            </w:r>
            <w:r w:rsidR="0064746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evaluates the outcomes of its programs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B78" w14:textId="14C5D39A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Program evaluation plans are non-existent</w:t>
            </w: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4F3B" w14:textId="0F193E69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Program evaluation plans exist but are vague and without specific details related to the evaluation process/design. Evaluation results rarely influence decisions to improve the program.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4C99" w14:textId="6DCC97F2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Program evaluation plans exist and details related to the evaluation process/design are explicit. Evaluation results sometimes influence program coordination and decision-making.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4BF7" w14:textId="35ED567E" w:rsidR="00647461" w:rsidRPr="0036320A" w:rsidRDefault="00647461" w:rsidP="0064746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Program evaluation plans exist and details related to the evaluation process/design are explicit. The organization actively uses evaluation results to inform program coordination and decision-making.</w:t>
            </w:r>
          </w:p>
        </w:tc>
      </w:tr>
      <w:tr w:rsidR="004A19FE" w:rsidRPr="0036320A" w14:paraId="21435D1E" w14:textId="77777777" w:rsidTr="00BA4FD0">
        <w:trPr>
          <w:trHeight w:val="10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0E0F8" w14:textId="77777777" w:rsidR="004A19FE" w:rsidRPr="0036320A" w:rsidRDefault="004A19FE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70AF9664" w14:textId="6A9615D6" w:rsidR="004A19FE" w:rsidRDefault="004A19FE"/>
    <w:p w14:paraId="1AD0931A" w14:textId="77777777" w:rsidR="00647461" w:rsidRDefault="00647461"/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2847"/>
        <w:gridCol w:w="2228"/>
        <w:gridCol w:w="2248"/>
        <w:gridCol w:w="2734"/>
      </w:tblGrid>
      <w:tr w:rsidR="00647461" w:rsidRPr="0036320A" w14:paraId="0371B760" w14:textId="77777777" w:rsidTr="00BA4FD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2498" w14:textId="77777777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 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Essential Practice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5A1" w14:textId="77777777" w:rsidR="00647461" w:rsidRPr="0036320A" w:rsidRDefault="00647461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Nonexistent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3FD" w14:textId="77777777" w:rsidR="00647461" w:rsidRPr="0036320A" w:rsidRDefault="00647461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3DD" w14:textId="77777777" w:rsidR="00647461" w:rsidRPr="0036320A" w:rsidRDefault="00647461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Emerging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C8B" w14:textId="77777777" w:rsidR="00647461" w:rsidRPr="0036320A" w:rsidRDefault="00647461" w:rsidP="00BA4F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Strong</w:t>
            </w:r>
          </w:p>
        </w:tc>
      </w:tr>
      <w:tr w:rsidR="00647461" w:rsidRPr="0036320A" w14:paraId="143242DC" w14:textId="77777777" w:rsidTr="00BA4FD0">
        <w:trPr>
          <w:trHeight w:val="2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8B63" w14:textId="072D7FC7" w:rsidR="00647461" w:rsidRPr="0036320A" w:rsidRDefault="003D3F28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647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Support</w:t>
            </w:r>
            <w:r w:rsidR="006108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="0064746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for Data Literacy</w:t>
            </w:r>
            <w:r w:rsidR="00647461" w:rsidRPr="003632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47461"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r w:rsidR="00647461" w:rsidRPr="0036320A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The organization </w:t>
            </w:r>
            <w:r w:rsidR="0064746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provides professional development and resources (e.g. performance scorecards, data user guides, etc.) to support building data literacy. The organization has designated staff who coordinate supports for data literacy.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492D" w14:textId="77777777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does not offer professional development/resources to support building data literacy.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910" w14:textId="77777777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rarely offers professional development opportunities and has limited standardized resources to support building data literacy.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DC13" w14:textId="77777777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regularly offers professional development opportunities and has a standardized set of resources to support building data literacy.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A6C3" w14:textId="6925165F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[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organization regularly offers professional development opportunities and has a standardized set of resources to support building data literacy. The organization has designated staff who coordinate supports for data literacy.</w:t>
            </w:r>
          </w:p>
        </w:tc>
      </w:tr>
      <w:tr w:rsidR="00647461" w:rsidRPr="0036320A" w14:paraId="791C4B01" w14:textId="77777777" w:rsidTr="00BA4FD0">
        <w:trPr>
          <w:trHeight w:val="10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BB85A" w14:textId="77777777" w:rsidR="00647461" w:rsidRPr="0036320A" w:rsidRDefault="00647461" w:rsidP="00BA4FD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320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Comments and evidence to support ranking:</w:t>
            </w:r>
          </w:p>
        </w:tc>
      </w:tr>
    </w:tbl>
    <w:p w14:paraId="39ABFE8C" w14:textId="77777777" w:rsidR="00647461" w:rsidRDefault="00647461"/>
    <w:sectPr w:rsidR="00647461" w:rsidSect="0076397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7697" w14:textId="77777777" w:rsidR="00763978" w:rsidRDefault="00763978" w:rsidP="00763978">
      <w:r>
        <w:separator/>
      </w:r>
    </w:p>
  </w:endnote>
  <w:endnote w:type="continuationSeparator" w:id="0">
    <w:p w14:paraId="6DE97AF7" w14:textId="77777777" w:rsidR="00763978" w:rsidRDefault="00763978" w:rsidP="0076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0075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DCA14" w14:textId="095B3273" w:rsidR="00BA1D8C" w:rsidRDefault="00BA1D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3D343B" w14:textId="77777777" w:rsidR="00763978" w:rsidRDefault="00763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5A3A" w14:textId="77777777" w:rsidR="00763978" w:rsidRDefault="00763978" w:rsidP="00763978">
      <w:r>
        <w:separator/>
      </w:r>
    </w:p>
  </w:footnote>
  <w:footnote w:type="continuationSeparator" w:id="0">
    <w:p w14:paraId="20521F0C" w14:textId="77777777" w:rsidR="00763978" w:rsidRDefault="00763978" w:rsidP="0076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F166" w14:textId="3B43B370" w:rsidR="00763978" w:rsidRDefault="0076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2DDF"/>
    <w:multiLevelType w:val="hybridMultilevel"/>
    <w:tmpl w:val="0F9A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0E81"/>
    <w:multiLevelType w:val="hybridMultilevel"/>
    <w:tmpl w:val="DEC6F0CC"/>
    <w:lvl w:ilvl="0" w:tplc="FBCC46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78"/>
    <w:rsid w:val="000774D2"/>
    <w:rsid w:val="001B2C85"/>
    <w:rsid w:val="002314AB"/>
    <w:rsid w:val="0023280D"/>
    <w:rsid w:val="00234484"/>
    <w:rsid w:val="00286A1F"/>
    <w:rsid w:val="002B6B24"/>
    <w:rsid w:val="002D2D2F"/>
    <w:rsid w:val="002D71D6"/>
    <w:rsid w:val="00331765"/>
    <w:rsid w:val="0036320A"/>
    <w:rsid w:val="003B0971"/>
    <w:rsid w:val="003D3F28"/>
    <w:rsid w:val="003F272D"/>
    <w:rsid w:val="00465BAB"/>
    <w:rsid w:val="00470E38"/>
    <w:rsid w:val="00495F77"/>
    <w:rsid w:val="004A19FE"/>
    <w:rsid w:val="005F29CC"/>
    <w:rsid w:val="00610816"/>
    <w:rsid w:val="00647461"/>
    <w:rsid w:val="006B0AED"/>
    <w:rsid w:val="006F02C1"/>
    <w:rsid w:val="00744822"/>
    <w:rsid w:val="00754510"/>
    <w:rsid w:val="00763978"/>
    <w:rsid w:val="007A6E02"/>
    <w:rsid w:val="008007D5"/>
    <w:rsid w:val="008232ED"/>
    <w:rsid w:val="008B38A2"/>
    <w:rsid w:val="00A2731F"/>
    <w:rsid w:val="00A27987"/>
    <w:rsid w:val="00A31A2B"/>
    <w:rsid w:val="00BA1D8C"/>
    <w:rsid w:val="00BB66B4"/>
    <w:rsid w:val="00BF7536"/>
    <w:rsid w:val="00C23B74"/>
    <w:rsid w:val="00CD77F6"/>
    <w:rsid w:val="00D41F58"/>
    <w:rsid w:val="00D802A8"/>
    <w:rsid w:val="00DC6AF8"/>
    <w:rsid w:val="00E715E9"/>
    <w:rsid w:val="00E80C1A"/>
    <w:rsid w:val="00F002FB"/>
    <w:rsid w:val="00F26131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AF436"/>
  <w15:chartTrackingRefBased/>
  <w15:docId w15:val="{3EDE6CCF-A745-46DD-9B67-DEAD749D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9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7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9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78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7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Konruff, Ben</cp:lastModifiedBy>
  <cp:revision>2</cp:revision>
  <cp:lastPrinted>2019-01-17T15:24:00Z</cp:lastPrinted>
  <dcterms:created xsi:type="dcterms:W3CDTF">2019-04-05T18:52:00Z</dcterms:created>
  <dcterms:modified xsi:type="dcterms:W3CDTF">2019-04-05T18:52:00Z</dcterms:modified>
</cp:coreProperties>
</file>