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619" w:rsidRDefault="00573675" w:rsidP="00573675">
      <w:pPr>
        <w:jc w:val="center"/>
        <w:rPr>
          <w:b/>
          <w:sz w:val="28"/>
          <w:szCs w:val="28"/>
        </w:rPr>
      </w:pPr>
      <w:r>
        <w:rPr>
          <w:b/>
          <w:sz w:val="28"/>
          <w:szCs w:val="28"/>
        </w:rPr>
        <w:t>WTCS QRP Cube User’s Guide</w:t>
      </w:r>
      <w:r>
        <w:rPr>
          <w:b/>
          <w:sz w:val="28"/>
          <w:szCs w:val="28"/>
        </w:rPr>
        <w:br/>
      </w:r>
      <w:r w:rsidR="00214619" w:rsidRPr="00573675">
        <w:rPr>
          <w:b/>
          <w:sz w:val="28"/>
          <w:szCs w:val="28"/>
        </w:rPr>
        <w:t xml:space="preserve">QRP – Indicator </w:t>
      </w:r>
      <w:r w:rsidR="00F023CF">
        <w:rPr>
          <w:b/>
          <w:sz w:val="28"/>
          <w:szCs w:val="28"/>
        </w:rPr>
        <w:t>#</w:t>
      </w:r>
      <w:r w:rsidR="001C5F01">
        <w:rPr>
          <w:b/>
          <w:sz w:val="28"/>
          <w:szCs w:val="28"/>
        </w:rPr>
        <w:t>2</w:t>
      </w:r>
      <w:r w:rsidR="004A43F8">
        <w:rPr>
          <w:b/>
          <w:sz w:val="28"/>
          <w:szCs w:val="28"/>
        </w:rPr>
        <w:t xml:space="preserve"> </w:t>
      </w:r>
      <w:r w:rsidR="001C5F01">
        <w:rPr>
          <w:b/>
          <w:sz w:val="28"/>
          <w:szCs w:val="28"/>
        </w:rPr>
        <w:t>Reten</w:t>
      </w:r>
      <w:r w:rsidR="00F023CF">
        <w:rPr>
          <w:b/>
          <w:sz w:val="28"/>
          <w:szCs w:val="28"/>
        </w:rPr>
        <w:t>tion</w:t>
      </w:r>
    </w:p>
    <w:sdt>
      <w:sdtPr>
        <w:rPr>
          <w:rFonts w:asciiTheme="minorHAnsi" w:eastAsiaTheme="minorHAnsi" w:hAnsiTheme="minorHAnsi" w:cstheme="minorBidi"/>
          <w:color w:val="auto"/>
          <w:sz w:val="22"/>
          <w:szCs w:val="22"/>
        </w:rPr>
        <w:id w:val="1366942640"/>
        <w:docPartObj>
          <w:docPartGallery w:val="Table of Contents"/>
          <w:docPartUnique/>
        </w:docPartObj>
      </w:sdtPr>
      <w:sdtEndPr>
        <w:rPr>
          <w:b/>
          <w:bCs/>
          <w:noProof/>
        </w:rPr>
      </w:sdtEndPr>
      <w:sdtContent>
        <w:p w:rsidR="00573675" w:rsidRDefault="00573675">
          <w:pPr>
            <w:pStyle w:val="TOCHeading"/>
          </w:pPr>
          <w:r>
            <w:t>Contents</w:t>
          </w:r>
          <w:bookmarkStart w:id="0" w:name="_GoBack"/>
          <w:bookmarkEnd w:id="0"/>
        </w:p>
        <w:p w:rsidR="00D3523B" w:rsidRDefault="00573675">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49425170" w:history="1">
            <w:r w:rsidR="00D3523B" w:rsidRPr="00187A3A">
              <w:rPr>
                <w:rStyle w:val="Hyperlink"/>
                <w:b/>
                <w:i/>
                <w:noProof/>
              </w:rPr>
              <w:t>Overview:</w:t>
            </w:r>
            <w:r w:rsidR="00D3523B">
              <w:rPr>
                <w:noProof/>
                <w:webHidden/>
              </w:rPr>
              <w:tab/>
            </w:r>
            <w:r w:rsidR="00D3523B">
              <w:rPr>
                <w:noProof/>
                <w:webHidden/>
              </w:rPr>
              <w:fldChar w:fldCharType="begin"/>
            </w:r>
            <w:r w:rsidR="00D3523B">
              <w:rPr>
                <w:noProof/>
                <w:webHidden/>
              </w:rPr>
              <w:instrText xml:space="preserve"> PAGEREF _Toc449425170 \h </w:instrText>
            </w:r>
            <w:r w:rsidR="00D3523B">
              <w:rPr>
                <w:noProof/>
                <w:webHidden/>
              </w:rPr>
            </w:r>
            <w:r w:rsidR="00D3523B">
              <w:rPr>
                <w:noProof/>
                <w:webHidden/>
              </w:rPr>
              <w:fldChar w:fldCharType="separate"/>
            </w:r>
            <w:r w:rsidR="007B1DBD">
              <w:rPr>
                <w:noProof/>
                <w:webHidden/>
              </w:rPr>
              <w:t>1</w:t>
            </w:r>
            <w:r w:rsidR="00D3523B">
              <w:rPr>
                <w:noProof/>
                <w:webHidden/>
              </w:rPr>
              <w:fldChar w:fldCharType="end"/>
            </w:r>
          </w:hyperlink>
        </w:p>
        <w:p w:rsidR="00D3523B" w:rsidRDefault="007B1DBD">
          <w:pPr>
            <w:pStyle w:val="TOC1"/>
            <w:tabs>
              <w:tab w:val="right" w:leader="dot" w:pos="9350"/>
            </w:tabs>
            <w:rPr>
              <w:rFonts w:eastAsiaTheme="minorEastAsia"/>
              <w:noProof/>
            </w:rPr>
          </w:pPr>
          <w:hyperlink w:anchor="_Toc449425171" w:history="1">
            <w:r w:rsidR="00D3523B" w:rsidRPr="00187A3A">
              <w:rPr>
                <w:rStyle w:val="Hyperlink"/>
                <w:b/>
                <w:i/>
                <w:noProof/>
              </w:rPr>
              <w:t>Cube Measure Group &amp; Dimension Groups:</w:t>
            </w:r>
            <w:r w:rsidR="00D3523B">
              <w:rPr>
                <w:noProof/>
                <w:webHidden/>
              </w:rPr>
              <w:tab/>
            </w:r>
            <w:r w:rsidR="00D3523B">
              <w:rPr>
                <w:noProof/>
                <w:webHidden/>
              </w:rPr>
              <w:fldChar w:fldCharType="begin"/>
            </w:r>
            <w:r w:rsidR="00D3523B">
              <w:rPr>
                <w:noProof/>
                <w:webHidden/>
              </w:rPr>
              <w:instrText xml:space="preserve"> PAGEREF _Toc449425171 \h </w:instrText>
            </w:r>
            <w:r w:rsidR="00D3523B">
              <w:rPr>
                <w:noProof/>
                <w:webHidden/>
              </w:rPr>
            </w:r>
            <w:r w:rsidR="00D3523B">
              <w:rPr>
                <w:noProof/>
                <w:webHidden/>
              </w:rPr>
              <w:fldChar w:fldCharType="separate"/>
            </w:r>
            <w:r>
              <w:rPr>
                <w:noProof/>
                <w:webHidden/>
              </w:rPr>
              <w:t>1</w:t>
            </w:r>
            <w:r w:rsidR="00D3523B">
              <w:rPr>
                <w:noProof/>
                <w:webHidden/>
              </w:rPr>
              <w:fldChar w:fldCharType="end"/>
            </w:r>
          </w:hyperlink>
        </w:p>
        <w:p w:rsidR="00D3523B" w:rsidRDefault="007B1DBD">
          <w:pPr>
            <w:pStyle w:val="TOC1"/>
            <w:tabs>
              <w:tab w:val="right" w:leader="dot" w:pos="9350"/>
            </w:tabs>
            <w:rPr>
              <w:rFonts w:eastAsiaTheme="minorEastAsia"/>
              <w:noProof/>
            </w:rPr>
          </w:pPr>
          <w:hyperlink w:anchor="_Toc449425172" w:history="1">
            <w:r w:rsidR="00D3523B" w:rsidRPr="00187A3A">
              <w:rPr>
                <w:rStyle w:val="Hyperlink"/>
                <w:b/>
                <w:i/>
                <w:noProof/>
              </w:rPr>
              <w:t>How to Use the Data:</w:t>
            </w:r>
            <w:r w:rsidR="00D3523B">
              <w:rPr>
                <w:noProof/>
                <w:webHidden/>
              </w:rPr>
              <w:tab/>
            </w:r>
            <w:r w:rsidR="00D3523B">
              <w:rPr>
                <w:noProof/>
                <w:webHidden/>
              </w:rPr>
              <w:fldChar w:fldCharType="begin"/>
            </w:r>
            <w:r w:rsidR="00D3523B">
              <w:rPr>
                <w:noProof/>
                <w:webHidden/>
              </w:rPr>
              <w:instrText xml:space="preserve"> PAGEREF _Toc449425172 \h </w:instrText>
            </w:r>
            <w:r w:rsidR="00D3523B">
              <w:rPr>
                <w:noProof/>
                <w:webHidden/>
              </w:rPr>
            </w:r>
            <w:r w:rsidR="00D3523B">
              <w:rPr>
                <w:noProof/>
                <w:webHidden/>
              </w:rPr>
              <w:fldChar w:fldCharType="separate"/>
            </w:r>
            <w:r>
              <w:rPr>
                <w:noProof/>
                <w:webHidden/>
              </w:rPr>
              <w:t>7</w:t>
            </w:r>
            <w:r w:rsidR="00D3523B">
              <w:rPr>
                <w:noProof/>
                <w:webHidden/>
              </w:rPr>
              <w:fldChar w:fldCharType="end"/>
            </w:r>
          </w:hyperlink>
        </w:p>
        <w:p w:rsidR="00D3523B" w:rsidRDefault="007B1DBD">
          <w:pPr>
            <w:pStyle w:val="TOC1"/>
            <w:tabs>
              <w:tab w:val="right" w:leader="dot" w:pos="9350"/>
            </w:tabs>
            <w:rPr>
              <w:rFonts w:eastAsiaTheme="minorEastAsia"/>
              <w:noProof/>
            </w:rPr>
          </w:pPr>
          <w:hyperlink w:anchor="_Toc449425173" w:history="1">
            <w:r w:rsidR="00D3523B" w:rsidRPr="00187A3A">
              <w:rPr>
                <w:rStyle w:val="Hyperlink"/>
                <w:b/>
                <w:i/>
                <w:noProof/>
              </w:rPr>
              <w:t>Cube Combination Examples:</w:t>
            </w:r>
            <w:r w:rsidR="00D3523B">
              <w:rPr>
                <w:noProof/>
                <w:webHidden/>
              </w:rPr>
              <w:tab/>
            </w:r>
            <w:r w:rsidR="00D3523B">
              <w:rPr>
                <w:noProof/>
                <w:webHidden/>
              </w:rPr>
              <w:fldChar w:fldCharType="begin"/>
            </w:r>
            <w:r w:rsidR="00D3523B">
              <w:rPr>
                <w:noProof/>
                <w:webHidden/>
              </w:rPr>
              <w:instrText xml:space="preserve"> PAGEREF _Toc449425173 \h </w:instrText>
            </w:r>
            <w:r w:rsidR="00D3523B">
              <w:rPr>
                <w:noProof/>
                <w:webHidden/>
              </w:rPr>
            </w:r>
            <w:r w:rsidR="00D3523B">
              <w:rPr>
                <w:noProof/>
                <w:webHidden/>
              </w:rPr>
              <w:fldChar w:fldCharType="separate"/>
            </w:r>
            <w:r>
              <w:rPr>
                <w:noProof/>
                <w:webHidden/>
              </w:rPr>
              <w:t>8</w:t>
            </w:r>
            <w:r w:rsidR="00D3523B">
              <w:rPr>
                <w:noProof/>
                <w:webHidden/>
              </w:rPr>
              <w:fldChar w:fldCharType="end"/>
            </w:r>
          </w:hyperlink>
        </w:p>
        <w:p w:rsidR="00D3523B" w:rsidRDefault="007B1DBD">
          <w:pPr>
            <w:pStyle w:val="TOC1"/>
            <w:tabs>
              <w:tab w:val="right" w:leader="dot" w:pos="9350"/>
            </w:tabs>
            <w:rPr>
              <w:rFonts w:eastAsiaTheme="minorEastAsia"/>
              <w:noProof/>
            </w:rPr>
          </w:pPr>
          <w:hyperlink w:anchor="_Toc449425174" w:history="1">
            <w:r w:rsidR="00D3523B" w:rsidRPr="00187A3A">
              <w:rPr>
                <w:rStyle w:val="Hyperlink"/>
                <w:b/>
                <w:i/>
                <w:noProof/>
              </w:rPr>
              <w:t>Drill-Through Capabilities:</w:t>
            </w:r>
            <w:r w:rsidR="00D3523B">
              <w:rPr>
                <w:noProof/>
                <w:webHidden/>
              </w:rPr>
              <w:tab/>
            </w:r>
            <w:r w:rsidR="00D3523B">
              <w:rPr>
                <w:noProof/>
                <w:webHidden/>
              </w:rPr>
              <w:fldChar w:fldCharType="begin"/>
            </w:r>
            <w:r w:rsidR="00D3523B">
              <w:rPr>
                <w:noProof/>
                <w:webHidden/>
              </w:rPr>
              <w:instrText xml:space="preserve"> PAGEREF _Toc449425174 \h </w:instrText>
            </w:r>
            <w:r w:rsidR="00D3523B">
              <w:rPr>
                <w:noProof/>
                <w:webHidden/>
              </w:rPr>
            </w:r>
            <w:r w:rsidR="00D3523B">
              <w:rPr>
                <w:noProof/>
                <w:webHidden/>
              </w:rPr>
              <w:fldChar w:fldCharType="separate"/>
            </w:r>
            <w:r>
              <w:rPr>
                <w:noProof/>
                <w:webHidden/>
              </w:rPr>
              <w:t>10</w:t>
            </w:r>
            <w:r w:rsidR="00D3523B">
              <w:rPr>
                <w:noProof/>
                <w:webHidden/>
              </w:rPr>
              <w:fldChar w:fldCharType="end"/>
            </w:r>
          </w:hyperlink>
        </w:p>
        <w:p w:rsidR="00D3523B" w:rsidRDefault="007B1DBD">
          <w:pPr>
            <w:pStyle w:val="TOC1"/>
            <w:tabs>
              <w:tab w:val="right" w:leader="dot" w:pos="9350"/>
            </w:tabs>
            <w:rPr>
              <w:rFonts w:eastAsiaTheme="minorEastAsia"/>
              <w:noProof/>
            </w:rPr>
          </w:pPr>
          <w:hyperlink w:anchor="_Toc449425175" w:history="1">
            <w:r w:rsidR="00D3523B" w:rsidRPr="00187A3A">
              <w:rPr>
                <w:rStyle w:val="Hyperlink"/>
                <w:b/>
                <w:i/>
                <w:noProof/>
              </w:rPr>
              <w:t>Commonly Asked Questions:</w:t>
            </w:r>
            <w:r w:rsidR="00D3523B">
              <w:rPr>
                <w:noProof/>
                <w:webHidden/>
              </w:rPr>
              <w:tab/>
            </w:r>
            <w:r w:rsidR="00D3523B">
              <w:rPr>
                <w:noProof/>
                <w:webHidden/>
              </w:rPr>
              <w:fldChar w:fldCharType="begin"/>
            </w:r>
            <w:r w:rsidR="00D3523B">
              <w:rPr>
                <w:noProof/>
                <w:webHidden/>
              </w:rPr>
              <w:instrText xml:space="preserve"> PAGEREF _Toc449425175 \h </w:instrText>
            </w:r>
            <w:r w:rsidR="00D3523B">
              <w:rPr>
                <w:noProof/>
                <w:webHidden/>
              </w:rPr>
            </w:r>
            <w:r w:rsidR="00D3523B">
              <w:rPr>
                <w:noProof/>
                <w:webHidden/>
              </w:rPr>
              <w:fldChar w:fldCharType="separate"/>
            </w:r>
            <w:r>
              <w:rPr>
                <w:noProof/>
                <w:webHidden/>
              </w:rPr>
              <w:t>11</w:t>
            </w:r>
            <w:r w:rsidR="00D3523B">
              <w:rPr>
                <w:noProof/>
                <w:webHidden/>
              </w:rPr>
              <w:fldChar w:fldCharType="end"/>
            </w:r>
          </w:hyperlink>
        </w:p>
        <w:p w:rsidR="00573675" w:rsidRDefault="00573675">
          <w:r>
            <w:rPr>
              <w:b/>
              <w:bCs/>
              <w:noProof/>
            </w:rPr>
            <w:fldChar w:fldCharType="end"/>
          </w:r>
        </w:p>
      </w:sdtContent>
    </w:sdt>
    <w:p w:rsidR="00573675" w:rsidRDefault="00573675" w:rsidP="00573675">
      <w:pPr>
        <w:pStyle w:val="Heading1"/>
      </w:pPr>
      <w:bookmarkStart w:id="1" w:name="_Toc449425170"/>
      <w:r>
        <w:rPr>
          <w:b/>
          <w:i/>
          <w:sz w:val="36"/>
          <w:szCs w:val="36"/>
        </w:rPr>
        <w:t>Overview</w:t>
      </w:r>
      <w:r w:rsidRPr="00CB40C3">
        <w:rPr>
          <w:b/>
          <w:i/>
          <w:sz w:val="36"/>
          <w:szCs w:val="36"/>
        </w:rPr>
        <w:t>:</w:t>
      </w:r>
      <w:bookmarkEnd w:id="1"/>
      <w:r w:rsidR="00245725">
        <w:tab/>
      </w:r>
    </w:p>
    <w:p w:rsidR="00214619" w:rsidRDefault="00245725" w:rsidP="00573675">
      <w:pPr>
        <w:ind w:firstLine="720"/>
        <w:rPr>
          <w:b/>
          <w:sz w:val="32"/>
          <w:szCs w:val="32"/>
        </w:rPr>
      </w:pPr>
      <w:r>
        <w:t xml:space="preserve">The </w:t>
      </w:r>
      <w:r w:rsidRPr="001A51F7">
        <w:rPr>
          <w:b/>
        </w:rPr>
        <w:t>QRP – Indicator #</w:t>
      </w:r>
      <w:r w:rsidR="001C5F01">
        <w:rPr>
          <w:b/>
        </w:rPr>
        <w:t>2</w:t>
      </w:r>
      <w:r w:rsidRPr="001A51F7">
        <w:rPr>
          <w:b/>
        </w:rPr>
        <w:t xml:space="preserve"> </w:t>
      </w:r>
      <w:r w:rsidR="001C5F01">
        <w:rPr>
          <w:b/>
        </w:rPr>
        <w:t>Retention</w:t>
      </w:r>
      <w:r w:rsidRPr="001A51F7">
        <w:rPr>
          <w:b/>
        </w:rPr>
        <w:t xml:space="preserve"> Cube</w:t>
      </w:r>
      <w:r>
        <w:t xml:space="preserve"> includes a </w:t>
      </w:r>
      <w:r w:rsidR="001C5F01">
        <w:rPr>
          <w:b/>
        </w:rPr>
        <w:t>Retention</w:t>
      </w:r>
      <w:r w:rsidRPr="001A51F7">
        <w:rPr>
          <w:b/>
        </w:rPr>
        <w:t xml:space="preserve"> Metrics</w:t>
      </w:r>
      <w:r>
        <w:t xml:space="preserve"> measure group and </w:t>
      </w:r>
      <w:r w:rsidR="00F46C9A">
        <w:rPr>
          <w:b/>
        </w:rPr>
        <w:t>four</w:t>
      </w:r>
      <w:r>
        <w:t xml:space="preserve"> dimension groups</w:t>
      </w:r>
      <w:r w:rsidR="001A51F7">
        <w:t xml:space="preserve">.  Dimensions </w:t>
      </w:r>
      <w:r w:rsidR="00F91542">
        <w:t>can</w:t>
      </w:r>
      <w:r w:rsidR="001A51F7">
        <w:t xml:space="preserve"> be used to uncover </w:t>
      </w:r>
      <w:proofErr w:type="gramStart"/>
      <w:r>
        <w:t>the who</w:t>
      </w:r>
      <w:proofErr w:type="gramEnd"/>
      <w:r>
        <w:t>, what, when, and where in an effort to answer</w:t>
      </w:r>
      <w:r w:rsidR="001A51F7">
        <w:t xml:space="preserve"> </w:t>
      </w:r>
      <w:r>
        <w:t>why</w:t>
      </w:r>
      <w:r w:rsidR="001A51F7">
        <w:t xml:space="preserve"> high or low </w:t>
      </w:r>
      <w:r>
        <w:t xml:space="preserve">successful </w:t>
      </w:r>
      <w:r w:rsidR="00465FC0">
        <w:t>retention</w:t>
      </w:r>
      <w:r w:rsidR="00F91542">
        <w:t xml:space="preserve"> rates exist</w:t>
      </w:r>
      <w:r w:rsidR="001A51F7">
        <w:t xml:space="preserve">.  </w:t>
      </w:r>
      <w:r w:rsidR="00F91542">
        <w:t>In essence, the</w:t>
      </w:r>
      <w:r w:rsidR="001A51F7">
        <w:t xml:space="preserve"> </w:t>
      </w:r>
      <w:r w:rsidR="00F91542">
        <w:t>C</w:t>
      </w:r>
      <w:r w:rsidR="001A51F7">
        <w:t>ube is meant to drive continuous improvement efforts by uncovering anomalies</w:t>
      </w:r>
      <w:r w:rsidR="00F91542">
        <w:t>,</w:t>
      </w:r>
      <w:r w:rsidR="001A51F7">
        <w:t xml:space="preserve"> and by providing actionable pieces of data.</w:t>
      </w:r>
      <w:r w:rsidR="000A4D34">
        <w:t xml:space="preserve"> </w:t>
      </w:r>
    </w:p>
    <w:p w:rsidR="00214619" w:rsidRPr="00CB40C3" w:rsidRDefault="00F91542" w:rsidP="00573675">
      <w:pPr>
        <w:pStyle w:val="Heading1"/>
        <w:rPr>
          <w:b/>
          <w:i/>
          <w:sz w:val="36"/>
          <w:szCs w:val="36"/>
        </w:rPr>
      </w:pPr>
      <w:bookmarkStart w:id="2" w:name="_Toc449425171"/>
      <w:r w:rsidRPr="00CB40C3">
        <w:rPr>
          <w:b/>
          <w:i/>
          <w:sz w:val="36"/>
          <w:szCs w:val="36"/>
        </w:rPr>
        <w:t>Cube Measure Group &amp; Dimension Groups:</w:t>
      </w:r>
      <w:bookmarkEnd w:id="2"/>
    </w:p>
    <w:p w:rsidR="00214619" w:rsidRDefault="00F91542" w:rsidP="00F91542">
      <w:pPr>
        <w:jc w:val="center"/>
        <w:rPr>
          <w:b/>
          <w:sz w:val="32"/>
          <w:szCs w:val="32"/>
        </w:rPr>
      </w:pPr>
      <w:r>
        <w:rPr>
          <w:b/>
          <w:noProof/>
          <w:sz w:val="32"/>
          <w:szCs w:val="32"/>
        </w:rPr>
        <w:drawing>
          <wp:inline distT="0" distB="0" distL="0" distR="0">
            <wp:extent cx="4810125" cy="3314700"/>
            <wp:effectExtent l="0" t="0" r="0" b="0"/>
            <wp:docPr id="26" name="Diagram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1C5F01" w:rsidRDefault="001C5F01" w:rsidP="00F91542">
      <w:pPr>
        <w:jc w:val="center"/>
        <w:rPr>
          <w:b/>
          <w:sz w:val="32"/>
          <w:szCs w:val="32"/>
        </w:rPr>
      </w:pPr>
    </w:p>
    <w:p w:rsidR="00F46C9A" w:rsidRDefault="00F46C9A">
      <w:pPr>
        <w:rPr>
          <w:b/>
          <w:sz w:val="28"/>
          <w:szCs w:val="28"/>
          <w:u w:val="single"/>
        </w:rPr>
      </w:pPr>
    </w:p>
    <w:p w:rsidR="00F23E10" w:rsidRPr="00F23E10" w:rsidRDefault="00F23E10">
      <w:pPr>
        <w:rPr>
          <w:b/>
          <w:sz w:val="28"/>
          <w:szCs w:val="28"/>
        </w:rPr>
      </w:pPr>
      <w:r w:rsidRPr="00F91542">
        <w:rPr>
          <w:b/>
          <w:sz w:val="28"/>
          <w:szCs w:val="28"/>
          <w:u w:val="single"/>
        </w:rPr>
        <w:lastRenderedPageBreak/>
        <w:t>Measure Group</w:t>
      </w:r>
      <w:r w:rsidRPr="00F23E10">
        <w:rPr>
          <w:b/>
          <w:sz w:val="28"/>
          <w:szCs w:val="28"/>
        </w:rPr>
        <w:t>:</w:t>
      </w:r>
    </w:p>
    <w:p w:rsidR="00BC120F" w:rsidRDefault="001C5F01">
      <w:r>
        <w:rPr>
          <w:b/>
        </w:rPr>
        <w:t>Retention</w:t>
      </w:r>
      <w:r w:rsidR="00E47FE6" w:rsidRPr="00353E48">
        <w:rPr>
          <w:b/>
        </w:rPr>
        <w:t xml:space="preserve"> Metrics</w:t>
      </w:r>
      <w:r w:rsidR="00353E48">
        <w:t xml:space="preserve"> –</w:t>
      </w:r>
      <w:r w:rsidR="00F46C9A">
        <w:t xml:space="preserve"> program </w:t>
      </w:r>
      <w:proofErr w:type="gramStart"/>
      <w:r w:rsidR="00353E48">
        <w:t>enrollees</w:t>
      </w:r>
      <w:proofErr w:type="gramEnd"/>
      <w:r>
        <w:t xml:space="preserve"> enrollment status</w:t>
      </w:r>
      <w:r w:rsidR="00353E48">
        <w:t xml:space="preserve"> </w:t>
      </w:r>
      <w:r w:rsidR="00F46C9A">
        <w:t>and graduations are</w:t>
      </w:r>
      <w:r w:rsidR="00353E48">
        <w:t xml:space="preserve"> identified through district submissions in the Client Reporting System with program enrollments</w:t>
      </w:r>
      <w:r w:rsidR="00F46C9A">
        <w:t xml:space="preserve"> and graduations</w:t>
      </w:r>
      <w:r w:rsidR="00353E48">
        <w:t xml:space="preserve"> on the S9 record</w:t>
      </w:r>
      <w:r>
        <w:t xml:space="preserve"> and enrollment status identified on the S3</w:t>
      </w:r>
      <w:r w:rsidR="00465FC0">
        <w:t xml:space="preserve"> record</w:t>
      </w:r>
      <w:r w:rsidR="006C3DE9">
        <w:t xml:space="preserve">; </w:t>
      </w:r>
      <w:r>
        <w:t>retention</w:t>
      </w:r>
      <w:r w:rsidR="006C3DE9">
        <w:t xml:space="preserve"> metrics follow a cohort methodology where the cohort </w:t>
      </w:r>
      <w:r w:rsidR="00BC120F">
        <w:t>is generated in the cohort year based on the following requirements</w:t>
      </w:r>
      <w:r w:rsidR="00465FC0">
        <w:t>:</w:t>
      </w:r>
    </w:p>
    <w:p w:rsidR="00BC120F" w:rsidRDefault="00BC120F" w:rsidP="00BC120F">
      <w:pPr>
        <w:pStyle w:val="ListParagraph"/>
        <w:numPr>
          <w:ilvl w:val="0"/>
          <w:numId w:val="6"/>
        </w:numPr>
      </w:pPr>
      <w:r>
        <w:t xml:space="preserve">Includes </w:t>
      </w:r>
      <w:r w:rsidR="006C3DE9">
        <w:t>only first time program students who have not been enrolled in the program assessed during the four years previous to t</w:t>
      </w:r>
      <w:r>
        <w:t xml:space="preserve">he year the cohort is generated, however, </w:t>
      </w:r>
      <w:r w:rsidR="006C3DE9">
        <w:t>program enrollees in the cohort may have been enrolled in another program at any time</w:t>
      </w:r>
    </w:p>
    <w:p w:rsidR="00BC120F" w:rsidRDefault="006C3DE9" w:rsidP="00BC120F">
      <w:pPr>
        <w:pStyle w:val="ListParagraph"/>
        <w:numPr>
          <w:ilvl w:val="0"/>
          <w:numId w:val="6"/>
        </w:numPr>
      </w:pPr>
      <w:r>
        <w:t xml:space="preserve">program enrollees in the cohort must be enrolled in at least one FTE generating </w:t>
      </w:r>
      <w:r w:rsidR="00116E4B">
        <w:t>course</w:t>
      </w:r>
      <w:r>
        <w:t xml:space="preserve"> with a course completion status of 01-Pass, 02-Fail, 03-Incomplete, or 04-Withdrew</w:t>
      </w:r>
      <w:r w:rsidR="00BC120F">
        <w:t xml:space="preserve"> in the year the cohort is generated</w:t>
      </w:r>
    </w:p>
    <w:p w:rsidR="006C3DE9" w:rsidRDefault="006C3DE9" w:rsidP="00BC120F">
      <w:pPr>
        <w:pStyle w:val="ListParagraph"/>
        <w:numPr>
          <w:ilvl w:val="1"/>
          <w:numId w:val="6"/>
        </w:numPr>
      </w:pPr>
      <w:r>
        <w:t>Associate Degree (10) and Liberal Arts (20) program enrollees must be enrolled in at</w:t>
      </w:r>
      <w:r w:rsidR="00BC120F">
        <w:t xml:space="preserve"> </w:t>
      </w:r>
      <w:r>
        <w:t>least one FTE generating Associate D</w:t>
      </w:r>
      <w:r w:rsidR="00BC120F">
        <w:t>egree (10) or Li</w:t>
      </w:r>
      <w:r w:rsidR="00116E4B">
        <w:t>beral Arts (20) aid code course</w:t>
      </w:r>
      <w:r>
        <w:t xml:space="preserve"> </w:t>
      </w:r>
    </w:p>
    <w:p w:rsidR="00BC120F" w:rsidRDefault="00BC120F" w:rsidP="00BC120F">
      <w:pPr>
        <w:pStyle w:val="ListParagraph"/>
        <w:numPr>
          <w:ilvl w:val="1"/>
          <w:numId w:val="6"/>
        </w:numPr>
      </w:pPr>
      <w:r>
        <w:t>Short-Term Tech Diploma (30), One-Year Tech Diploma (31), and Two-Year Tech Diploma (32) program enrollees must be enrolled in at least one FTE generating Associate Degree (10), Liberal Arts (20), Short-Term Tech Diploma (30), One-Year Tech Diploma (31), or Two-Year Tec</w:t>
      </w:r>
      <w:r w:rsidR="00116E4B">
        <w:t>h Diploma (32) aid code course</w:t>
      </w:r>
    </w:p>
    <w:p w:rsidR="00BC120F" w:rsidRDefault="00BC120F" w:rsidP="00BC120F">
      <w:pPr>
        <w:pStyle w:val="ListParagraph"/>
        <w:numPr>
          <w:ilvl w:val="1"/>
          <w:numId w:val="6"/>
        </w:numPr>
      </w:pPr>
      <w:r>
        <w:t xml:space="preserve">Apprenticeship (50) program enrollees must be enrolled in at least one FTE generating Apprenticeship (50) aid code course </w:t>
      </w:r>
    </w:p>
    <w:p w:rsidR="001C5F01" w:rsidRDefault="001C5F01" w:rsidP="001C5F01">
      <w:r>
        <w:t>A cohort student is considered retained if they graduated within the years assessed or are still coded to the program and enrolled in at least one FTE generating course</w:t>
      </w:r>
      <w:r w:rsidR="00116E4B">
        <w:t xml:space="preserve"> with a</w:t>
      </w:r>
      <w:r>
        <w:t xml:space="preserve"> completion status of 01-Pass, 02-Fail, 03-Incomplete, or 04-Withdrew in the last year the cohort is assessed.  Degree and course enrollment combinations follow the same methodology as the above bullet points in the final year of assessment for retention.</w:t>
      </w:r>
    </w:p>
    <w:p w:rsidR="00F23E10" w:rsidRPr="00F23E10" w:rsidRDefault="00F23E10">
      <w:pPr>
        <w:rPr>
          <w:b/>
          <w:sz w:val="28"/>
          <w:szCs w:val="28"/>
        </w:rPr>
      </w:pPr>
      <w:r w:rsidRPr="00F23E10">
        <w:rPr>
          <w:b/>
          <w:sz w:val="28"/>
          <w:szCs w:val="28"/>
        </w:rPr>
        <w:t>Measures:</w:t>
      </w:r>
    </w:p>
    <w:p w:rsidR="00E47FE6" w:rsidRDefault="001C5F01">
      <w:r>
        <w:rPr>
          <w:b/>
        </w:rPr>
        <w:t>Semester to Semester Retention</w:t>
      </w:r>
      <w:r w:rsidR="00F46C9A">
        <w:rPr>
          <w:b/>
        </w:rPr>
        <w:t xml:space="preserve"> – Cohort Count</w:t>
      </w:r>
      <w:r w:rsidR="00E47FE6">
        <w:t xml:space="preserve"> – the </w:t>
      </w:r>
      <w:r w:rsidR="00F46C9A">
        <w:t>un</w:t>
      </w:r>
      <w:r w:rsidR="00E47FE6">
        <w:t xml:space="preserve">duplicated count of </w:t>
      </w:r>
      <w:r w:rsidR="00F46C9A">
        <w:t>program enrollees</w:t>
      </w:r>
      <w:r w:rsidR="00E47FE6">
        <w:t xml:space="preserve"> for a specific program </w:t>
      </w:r>
      <w:r w:rsidR="00F46C9A">
        <w:t xml:space="preserve">who </w:t>
      </w:r>
      <w:r w:rsidR="00BC120F">
        <w:t xml:space="preserve">meet the </w:t>
      </w:r>
      <w:r w:rsidR="00C81D66">
        <w:t xml:space="preserve">above </w:t>
      </w:r>
      <w:r w:rsidR="00BC120F">
        <w:t>cohort requirements</w:t>
      </w:r>
      <w:r>
        <w:t xml:space="preserve"> with course enrollment in the fall term</w:t>
      </w:r>
    </w:p>
    <w:p w:rsidR="00E47FE6" w:rsidRDefault="001C5F01">
      <w:r>
        <w:rPr>
          <w:b/>
        </w:rPr>
        <w:t xml:space="preserve">Semester to Semester Retention </w:t>
      </w:r>
      <w:r w:rsidR="00BC120F">
        <w:rPr>
          <w:b/>
        </w:rPr>
        <w:t>– Achieved Count</w:t>
      </w:r>
      <w:r w:rsidR="00BC120F">
        <w:t xml:space="preserve"> </w:t>
      </w:r>
      <w:r w:rsidR="00E47FE6">
        <w:t xml:space="preserve">– </w:t>
      </w:r>
      <w:r w:rsidR="00BC120F">
        <w:t>the unduplicated count of program enrollees from the cohort who graduated from the program assessed</w:t>
      </w:r>
      <w:r w:rsidR="00C81D66">
        <w:t xml:space="preserve"> in the same year the cohort was generated</w:t>
      </w:r>
      <w:r>
        <w:t xml:space="preserve"> or are enrolled in courses in the spring term</w:t>
      </w:r>
    </w:p>
    <w:p w:rsidR="00E47FE6" w:rsidRDefault="001C5F01">
      <w:r>
        <w:rPr>
          <w:b/>
        </w:rPr>
        <w:t xml:space="preserve">Semester to Semester Retention </w:t>
      </w:r>
      <w:r w:rsidR="00C81D66">
        <w:rPr>
          <w:b/>
        </w:rPr>
        <w:t xml:space="preserve">– % </w:t>
      </w:r>
      <w:r>
        <w:rPr>
          <w:b/>
        </w:rPr>
        <w:t>Retained</w:t>
      </w:r>
      <w:r w:rsidR="00C81D66">
        <w:t xml:space="preserve"> </w:t>
      </w:r>
      <w:r w:rsidR="00E47FE6">
        <w:t>– the quotient of “</w:t>
      </w:r>
      <w:r>
        <w:rPr>
          <w:b/>
        </w:rPr>
        <w:t>Semester to Semester Retention – Achieved Count</w:t>
      </w:r>
      <w:r w:rsidR="00E47FE6">
        <w:rPr>
          <w:b/>
        </w:rPr>
        <w:t>”</w:t>
      </w:r>
      <w:r w:rsidR="00E47FE6">
        <w:t xml:space="preserve"> and “</w:t>
      </w:r>
      <w:r>
        <w:rPr>
          <w:b/>
        </w:rPr>
        <w:t>Semester to Semester Retention – Cohort Count</w:t>
      </w:r>
      <w:r w:rsidR="00E47FE6">
        <w:t xml:space="preserve">” </w:t>
      </w:r>
    </w:p>
    <w:p w:rsidR="00C81D66" w:rsidRDefault="00F23E10" w:rsidP="00C81D66">
      <w:r>
        <w:t xml:space="preserve"> </w:t>
      </w:r>
      <w:r w:rsidR="00C81D66">
        <w:rPr>
          <w:b/>
        </w:rPr>
        <w:t>2</w:t>
      </w:r>
      <w:r w:rsidR="00C81D66" w:rsidRPr="00C81D66">
        <w:rPr>
          <w:b/>
          <w:vertAlign w:val="superscript"/>
        </w:rPr>
        <w:t>nd</w:t>
      </w:r>
      <w:r w:rsidR="00C81D66">
        <w:rPr>
          <w:b/>
        </w:rPr>
        <w:t xml:space="preserve"> Year </w:t>
      </w:r>
      <w:r w:rsidR="001C5F01">
        <w:rPr>
          <w:b/>
        </w:rPr>
        <w:t>Retention</w:t>
      </w:r>
      <w:r w:rsidR="00C81D66">
        <w:rPr>
          <w:b/>
        </w:rPr>
        <w:t xml:space="preserve"> – Cohort Count</w:t>
      </w:r>
      <w:r w:rsidR="00C81D66">
        <w:t xml:space="preserve"> – the unduplicated count of program enrollees for a specific program who meet the above cohort requirements</w:t>
      </w:r>
    </w:p>
    <w:p w:rsidR="00C81D66" w:rsidRDefault="00C81D66" w:rsidP="00C81D66">
      <w:r>
        <w:rPr>
          <w:b/>
        </w:rPr>
        <w:t>2</w:t>
      </w:r>
      <w:r w:rsidRPr="00C81D66">
        <w:rPr>
          <w:b/>
          <w:vertAlign w:val="superscript"/>
        </w:rPr>
        <w:t>nd</w:t>
      </w:r>
      <w:r>
        <w:rPr>
          <w:b/>
        </w:rPr>
        <w:t xml:space="preserve"> Year </w:t>
      </w:r>
      <w:r w:rsidR="001C5F01">
        <w:rPr>
          <w:b/>
        </w:rPr>
        <w:t>Retention</w:t>
      </w:r>
      <w:r>
        <w:rPr>
          <w:b/>
        </w:rPr>
        <w:t xml:space="preserve"> – Achieved Count</w:t>
      </w:r>
      <w:r>
        <w:t xml:space="preserve"> – the unduplicated count of program enrollees from the cohort who graduated from the program assessed in the same year the cohort was generated or in the </w:t>
      </w:r>
      <w:r w:rsidR="00424423">
        <w:t xml:space="preserve">second </w:t>
      </w:r>
      <w:r>
        <w:t>year</w:t>
      </w:r>
      <w:r w:rsidR="00424423">
        <w:t xml:space="preserve"> or are enrolled in courses in the second year</w:t>
      </w:r>
    </w:p>
    <w:p w:rsidR="00C81D66" w:rsidRDefault="00C81D66" w:rsidP="00C81D66">
      <w:r>
        <w:rPr>
          <w:b/>
        </w:rPr>
        <w:lastRenderedPageBreak/>
        <w:t>2</w:t>
      </w:r>
      <w:r w:rsidRPr="00C81D66">
        <w:rPr>
          <w:b/>
          <w:vertAlign w:val="superscript"/>
        </w:rPr>
        <w:t>nd</w:t>
      </w:r>
      <w:r>
        <w:rPr>
          <w:b/>
        </w:rPr>
        <w:t xml:space="preserve"> Year </w:t>
      </w:r>
      <w:r w:rsidR="001C5F01">
        <w:rPr>
          <w:b/>
        </w:rPr>
        <w:t>Retention – % Retained</w:t>
      </w:r>
      <w:r>
        <w:t xml:space="preserve"> – the quotient of “</w:t>
      </w:r>
      <w:r>
        <w:rPr>
          <w:b/>
        </w:rPr>
        <w:t>2</w:t>
      </w:r>
      <w:r w:rsidRPr="00C81D66">
        <w:rPr>
          <w:b/>
          <w:vertAlign w:val="superscript"/>
        </w:rPr>
        <w:t>nd</w:t>
      </w:r>
      <w:r>
        <w:rPr>
          <w:b/>
        </w:rPr>
        <w:t xml:space="preserve"> Year </w:t>
      </w:r>
      <w:r w:rsidR="001C5F01">
        <w:rPr>
          <w:b/>
        </w:rPr>
        <w:t>Retention</w:t>
      </w:r>
      <w:r>
        <w:rPr>
          <w:b/>
        </w:rPr>
        <w:t xml:space="preserve"> – Achieved Count”</w:t>
      </w:r>
      <w:r>
        <w:t xml:space="preserve"> and “</w:t>
      </w:r>
      <w:r>
        <w:rPr>
          <w:b/>
        </w:rPr>
        <w:t>2</w:t>
      </w:r>
      <w:r w:rsidRPr="00C81D66">
        <w:rPr>
          <w:b/>
          <w:vertAlign w:val="superscript"/>
        </w:rPr>
        <w:t>nd</w:t>
      </w:r>
      <w:r>
        <w:rPr>
          <w:b/>
        </w:rPr>
        <w:t xml:space="preserve"> Year </w:t>
      </w:r>
      <w:r w:rsidR="001C5F01">
        <w:rPr>
          <w:b/>
        </w:rPr>
        <w:t>Retention</w:t>
      </w:r>
      <w:r>
        <w:rPr>
          <w:b/>
        </w:rPr>
        <w:t xml:space="preserve"> – Cohort Count</w:t>
      </w:r>
      <w:r>
        <w:t xml:space="preserve">” </w:t>
      </w:r>
    </w:p>
    <w:p w:rsidR="00F23E10" w:rsidRDefault="00C81D66" w:rsidP="00F23E10">
      <w:r>
        <w:rPr>
          <w:b/>
        </w:rPr>
        <w:t>****3</w:t>
      </w:r>
      <w:r w:rsidRPr="00C81D66">
        <w:rPr>
          <w:b/>
          <w:vertAlign w:val="superscript"/>
        </w:rPr>
        <w:t>rd</w:t>
      </w:r>
      <w:r>
        <w:rPr>
          <w:b/>
        </w:rPr>
        <w:t>, 4</w:t>
      </w:r>
      <w:r w:rsidRPr="00C81D66">
        <w:rPr>
          <w:b/>
          <w:vertAlign w:val="superscript"/>
        </w:rPr>
        <w:t>th</w:t>
      </w:r>
      <w:r>
        <w:rPr>
          <w:b/>
        </w:rPr>
        <w:t>, 5</w:t>
      </w:r>
      <w:r w:rsidRPr="00C81D66">
        <w:rPr>
          <w:b/>
          <w:vertAlign w:val="superscript"/>
        </w:rPr>
        <w:t>th</w:t>
      </w:r>
      <w:r>
        <w:rPr>
          <w:b/>
        </w:rPr>
        <w:t>, and 6</w:t>
      </w:r>
      <w:r w:rsidRPr="00C81D66">
        <w:rPr>
          <w:b/>
          <w:vertAlign w:val="superscript"/>
        </w:rPr>
        <w:t>th</w:t>
      </w:r>
      <w:r>
        <w:rPr>
          <w:b/>
        </w:rPr>
        <w:t xml:space="preserve"> Year </w:t>
      </w:r>
      <w:r w:rsidR="001C5F01">
        <w:rPr>
          <w:b/>
        </w:rPr>
        <w:t>Retention</w:t>
      </w:r>
      <w:r>
        <w:rPr>
          <w:b/>
        </w:rPr>
        <w:t xml:space="preserve"> metrics follow the same methodology, but extend the length for assessing </w:t>
      </w:r>
      <w:r w:rsidR="00465FC0">
        <w:rPr>
          <w:b/>
        </w:rPr>
        <w:t>retention</w:t>
      </w:r>
    </w:p>
    <w:p w:rsidR="001C4576" w:rsidRDefault="001C4576" w:rsidP="00F23E10">
      <w:pPr>
        <w:rPr>
          <w:b/>
          <w:sz w:val="28"/>
          <w:szCs w:val="28"/>
          <w:u w:val="single"/>
        </w:rPr>
      </w:pPr>
    </w:p>
    <w:p w:rsidR="00F23E10" w:rsidRPr="00F23E10" w:rsidRDefault="00F23E10" w:rsidP="00F23E10">
      <w:pPr>
        <w:rPr>
          <w:b/>
          <w:sz w:val="28"/>
          <w:szCs w:val="28"/>
        </w:rPr>
      </w:pPr>
      <w:r w:rsidRPr="00F91542">
        <w:rPr>
          <w:b/>
          <w:sz w:val="28"/>
          <w:szCs w:val="28"/>
          <w:u w:val="single"/>
        </w:rPr>
        <w:t>Dimension Group</w:t>
      </w:r>
      <w:r w:rsidRPr="00F23E10">
        <w:rPr>
          <w:b/>
          <w:sz w:val="28"/>
          <w:szCs w:val="28"/>
        </w:rPr>
        <w:t>:</w:t>
      </w:r>
    </w:p>
    <w:p w:rsidR="00F23E10" w:rsidRDefault="00353E48" w:rsidP="00E47FE6">
      <w:r>
        <w:rPr>
          <w:b/>
        </w:rPr>
        <w:t>Client Demographic</w:t>
      </w:r>
      <w:r>
        <w:t xml:space="preserve"> – data is sourced to the WTCS Client Reporting System</w:t>
      </w:r>
    </w:p>
    <w:p w:rsidR="00353E48" w:rsidRDefault="00353E48" w:rsidP="00353E48">
      <w:pPr>
        <w:rPr>
          <w:b/>
          <w:sz w:val="28"/>
          <w:szCs w:val="28"/>
        </w:rPr>
      </w:pPr>
      <w:r>
        <w:rPr>
          <w:b/>
          <w:sz w:val="28"/>
          <w:szCs w:val="28"/>
        </w:rPr>
        <w:t>Dimensions</w:t>
      </w:r>
      <w:r w:rsidRPr="00F23E10">
        <w:rPr>
          <w:b/>
          <w:sz w:val="28"/>
          <w:szCs w:val="28"/>
        </w:rPr>
        <w:t>:</w:t>
      </w:r>
    </w:p>
    <w:p w:rsidR="00C3444E" w:rsidRDefault="00353E48" w:rsidP="00C3444E">
      <w:r>
        <w:rPr>
          <w:b/>
        </w:rPr>
        <w:t>Academically Disadvantaged</w:t>
      </w:r>
      <w:r>
        <w:t xml:space="preserve"> – reference definitions in the </w:t>
      </w:r>
      <w:hyperlink r:id="rId13" w:history="1">
        <w:r w:rsidRPr="00BA63A2">
          <w:rPr>
            <w:rStyle w:val="Hyperlink"/>
          </w:rPr>
          <w:t>Client Reporting System Manual</w:t>
        </w:r>
      </w:hyperlink>
      <w:r w:rsidR="00C3444E">
        <w:t>; based on Academically Disadvantaged field</w:t>
      </w:r>
    </w:p>
    <w:p w:rsidR="00E943D2" w:rsidRDefault="00E943D2" w:rsidP="00E943D2">
      <w:r>
        <w:rPr>
          <w:b/>
        </w:rPr>
        <w:t>Age Group</w:t>
      </w:r>
      <w:r>
        <w:t xml:space="preserve"> – calculated age as of June 1</w:t>
      </w:r>
      <w:r w:rsidRPr="00E943D2">
        <w:rPr>
          <w:vertAlign w:val="superscript"/>
        </w:rPr>
        <w:t>st</w:t>
      </w:r>
      <w:r>
        <w:t xml:space="preserve"> of the fiscal year in question; age is </w:t>
      </w:r>
      <w:r w:rsidR="00C3444E">
        <w:t>based on Birth Date field</w:t>
      </w:r>
      <w:r>
        <w:t xml:space="preserve"> in Client Reporting; age is grouped into the following categories; &lt;18, 18-24, 25-29, 30-34, 35-44, 45-54, 55-61, 62 and Older, and Unknown when Client date of birth is not reported</w:t>
      </w:r>
    </w:p>
    <w:p w:rsidR="00E943D2" w:rsidRDefault="00E943D2" w:rsidP="00E943D2">
      <w:r>
        <w:rPr>
          <w:b/>
        </w:rPr>
        <w:t>Client Number</w:t>
      </w:r>
      <w:r>
        <w:t xml:space="preserve"> – WTCS assigned number for each Client reported in Client Reporting</w:t>
      </w:r>
    </w:p>
    <w:p w:rsidR="00E943D2" w:rsidRDefault="00E943D2" w:rsidP="00E943D2">
      <w:r>
        <w:rPr>
          <w:b/>
        </w:rPr>
        <w:t>County of Residence</w:t>
      </w:r>
      <w:r>
        <w:t xml:space="preserve"> – reference definitions in the Client Reporting System Manual; based on County Code field</w:t>
      </w:r>
    </w:p>
    <w:p w:rsidR="00E943D2" w:rsidRDefault="00E943D2" w:rsidP="00E943D2">
      <w:r>
        <w:rPr>
          <w:b/>
        </w:rPr>
        <w:t>Disability</w:t>
      </w:r>
      <w:r>
        <w:t xml:space="preserve"> – reference definitions in the Client Reporting System Manual</w:t>
      </w:r>
      <w:r w:rsidR="00C3444E">
        <w:t>; based on Person with Disability field</w:t>
      </w:r>
    </w:p>
    <w:p w:rsidR="00E943D2" w:rsidRDefault="00E943D2" w:rsidP="00E943D2">
      <w:r>
        <w:rPr>
          <w:b/>
        </w:rPr>
        <w:t>Displaced Homemaker</w:t>
      </w:r>
      <w:r>
        <w:t xml:space="preserve"> – reference definitions in the Client Reporting System Manual</w:t>
      </w:r>
      <w:r w:rsidR="00C3444E">
        <w:t>; based on Displaced Homemaker field</w:t>
      </w:r>
    </w:p>
    <w:p w:rsidR="00E943D2" w:rsidRDefault="00E943D2" w:rsidP="00E943D2">
      <w:r>
        <w:rPr>
          <w:b/>
        </w:rPr>
        <w:t>District of Residence</w:t>
      </w:r>
      <w:r>
        <w:t xml:space="preserve"> – reference definitions in the Client Reporting System Manual</w:t>
      </w:r>
      <w:r w:rsidR="00905759">
        <w:t xml:space="preserve">; </w:t>
      </w:r>
      <w:r w:rsidR="00723C58">
        <w:t>based on</w:t>
      </w:r>
      <w:r w:rsidR="00905759">
        <w:t xml:space="preserve"> WTCS District of Residence field</w:t>
      </w:r>
    </w:p>
    <w:p w:rsidR="00905759" w:rsidRDefault="00905759" w:rsidP="00E943D2">
      <w:r>
        <w:rPr>
          <w:b/>
        </w:rPr>
        <w:t>District Student Id</w:t>
      </w:r>
      <w:r>
        <w:t xml:space="preserve"> – reference definitions in the Client Reporting System Manual</w:t>
      </w:r>
      <w:r w:rsidR="00C3444E">
        <w:t>; based on District Student ID field</w:t>
      </w:r>
    </w:p>
    <w:p w:rsidR="00905759" w:rsidRPr="00905759" w:rsidRDefault="00905759" w:rsidP="00E943D2">
      <w:r>
        <w:rPr>
          <w:b/>
        </w:rPr>
        <w:t>Economically Disadvantaged</w:t>
      </w:r>
      <w:r>
        <w:t xml:space="preserve"> – reference definitions in the Client Reporting System Manual</w:t>
      </w:r>
      <w:r w:rsidR="00C3444E">
        <w:t>; based on Economically Disadvantaged field</w:t>
      </w:r>
    </w:p>
    <w:p w:rsidR="00905759" w:rsidRDefault="00905759" w:rsidP="00905759">
      <w:pPr>
        <w:contextualSpacing/>
      </w:pPr>
      <w:r>
        <w:rPr>
          <w:b/>
        </w:rPr>
        <w:t>Effort District</w:t>
      </w:r>
      <w:r>
        <w:t xml:space="preserve"> – the WTCS district a high school is located in, per the district boundaries defined in WTCS State Board policy; this code is not reported, but is added to the high school tables to allow Technical Colleges and the System Office to see where high school attendees/graduates from the various Technical College districts enroll</w:t>
      </w:r>
    </w:p>
    <w:p w:rsidR="00723C58" w:rsidRDefault="00723C58" w:rsidP="00905759">
      <w:pPr>
        <w:contextualSpacing/>
      </w:pPr>
    </w:p>
    <w:p w:rsidR="00723C58" w:rsidRDefault="00723C58" w:rsidP="00905759">
      <w:r>
        <w:rPr>
          <w:b/>
        </w:rPr>
        <w:t>Full-time 24 Or More Credits</w:t>
      </w:r>
      <w:r>
        <w:t xml:space="preserve"> – </w:t>
      </w:r>
      <w:r w:rsidR="00790F18">
        <w:t>calculation of the sum of credits enrolled in during the said academic year; includes credits across all aid codes from Client Reporting</w:t>
      </w:r>
    </w:p>
    <w:p w:rsidR="00723C58" w:rsidRDefault="00723C58" w:rsidP="00723C58">
      <w:r>
        <w:rPr>
          <w:b/>
        </w:rPr>
        <w:t>Gender</w:t>
      </w:r>
      <w:r>
        <w:t xml:space="preserve"> – reference definitions in the Client Reporting System Manual; based on Sex Code field</w:t>
      </w:r>
    </w:p>
    <w:p w:rsidR="00723C58" w:rsidRDefault="00723C58" w:rsidP="00723C58">
      <w:r>
        <w:rPr>
          <w:b/>
        </w:rPr>
        <w:lastRenderedPageBreak/>
        <w:t>High School Graduation Year</w:t>
      </w:r>
      <w:r>
        <w:t xml:space="preserve"> – reference definitions in the Client Reporting System Manual; based on Year of High School Graduation field</w:t>
      </w:r>
    </w:p>
    <w:p w:rsidR="00723C58" w:rsidRDefault="00723C58" w:rsidP="00723C58">
      <w:r>
        <w:rPr>
          <w:b/>
        </w:rPr>
        <w:t>High School Last Attended</w:t>
      </w:r>
      <w:r>
        <w:t xml:space="preserve"> - reference definitions in the Client Reporting System Manual; based on High School Attended field</w:t>
      </w:r>
    </w:p>
    <w:p w:rsidR="00723C58" w:rsidRDefault="00723C58" w:rsidP="00723C58">
      <w:r>
        <w:rPr>
          <w:b/>
        </w:rPr>
        <w:t>Highest Credential Received</w:t>
      </w:r>
      <w:r>
        <w:t xml:space="preserve"> - reference definitions in the Client Reporting System Manual; based on Highest Credential Received at Enrollment field</w:t>
      </w:r>
    </w:p>
    <w:p w:rsidR="00723C58" w:rsidRDefault="00723C58" w:rsidP="00723C58">
      <w:r>
        <w:rPr>
          <w:b/>
        </w:rPr>
        <w:t xml:space="preserve">Highest Grade Completed </w:t>
      </w:r>
      <w:r>
        <w:t>- reference definitions in the Client Reporting System Manual; based on Highest Grade Completed at Enrollment field</w:t>
      </w:r>
    </w:p>
    <w:p w:rsidR="00723C58" w:rsidRDefault="00723C58" w:rsidP="00723C58">
      <w:r>
        <w:rPr>
          <w:b/>
        </w:rPr>
        <w:t>Incarcerated</w:t>
      </w:r>
      <w:r>
        <w:t xml:space="preserve"> - reference definitions in the Client Reporting System Manual;</w:t>
      </w:r>
      <w:r w:rsidR="00F44A57">
        <w:t xml:space="preserve"> based on Incarcerated field</w:t>
      </w:r>
    </w:p>
    <w:p w:rsidR="00F44A57" w:rsidRPr="00F44A57" w:rsidRDefault="00F44A57" w:rsidP="00723C58">
      <w:r>
        <w:rPr>
          <w:b/>
        </w:rPr>
        <w:t>Limited English Proficiency</w:t>
      </w:r>
      <w:r>
        <w:t xml:space="preserve"> - reference definitions in the Client Reporting System Manual; based on Limited English Proficiency field</w:t>
      </w:r>
    </w:p>
    <w:p w:rsidR="00844AC7" w:rsidRPr="00F44A57" w:rsidRDefault="00844AC7" w:rsidP="00844AC7">
      <w:r>
        <w:rPr>
          <w:b/>
        </w:rPr>
        <w:t>Minority</w:t>
      </w:r>
      <w:r>
        <w:t xml:space="preserve"> - reference definitions in the Client Reporting System Manual; based on Ethnic Code/Race field; minority status of “Yes” includes American Indian/Alaskan Native, Asian, Black, Hispanic, Multiple, Pacific Islander; minority status of “No” includes White and Unknown </w:t>
      </w:r>
    </w:p>
    <w:p w:rsidR="00790F18" w:rsidRPr="00F44A57" w:rsidRDefault="00790F18" w:rsidP="00790F18">
      <w:r>
        <w:rPr>
          <w:b/>
        </w:rPr>
        <w:t>Municipality of Residence</w:t>
      </w:r>
      <w:r>
        <w:t xml:space="preserve"> - reference definitions in the Client Reporting System Manual; based on Municipality Code field</w:t>
      </w:r>
    </w:p>
    <w:p w:rsidR="00E943D2" w:rsidRDefault="00790F18" w:rsidP="00E943D2">
      <w:r>
        <w:rPr>
          <w:b/>
        </w:rPr>
        <w:t>Program Enrollee</w:t>
      </w:r>
      <w:r>
        <w:t xml:space="preserve"> – Student has an S9 record in Client Reporting in the said academic year</w:t>
      </w:r>
    </w:p>
    <w:p w:rsidR="00790F18" w:rsidRDefault="00790F18" w:rsidP="00790F18">
      <w:r>
        <w:rPr>
          <w:b/>
        </w:rPr>
        <w:t>Program Graduate</w:t>
      </w:r>
      <w:r>
        <w:t xml:space="preserve"> – Student has an S9 graduate record in Client Reporting in the said academic year</w:t>
      </w:r>
    </w:p>
    <w:p w:rsidR="00790F18" w:rsidRDefault="00790F18" w:rsidP="00790F18">
      <w:r>
        <w:rPr>
          <w:b/>
        </w:rPr>
        <w:t>Race Ethnicity</w:t>
      </w:r>
      <w:r>
        <w:t xml:space="preserve"> - reference definitions in the Client Reporting System Manual; based on Ethnic Code/Race field</w:t>
      </w:r>
    </w:p>
    <w:p w:rsidR="00790F18" w:rsidRDefault="00790F18" w:rsidP="00790F18">
      <w:r>
        <w:rPr>
          <w:b/>
        </w:rPr>
        <w:t>Single Parent</w:t>
      </w:r>
      <w:r>
        <w:t xml:space="preserve"> - reference definitions in the Client Reporting System Manual; based on Single Parent field</w:t>
      </w:r>
    </w:p>
    <w:p w:rsidR="00790F18" w:rsidRPr="00F44A57" w:rsidRDefault="00790F18" w:rsidP="00790F18">
      <w:r>
        <w:rPr>
          <w:b/>
        </w:rPr>
        <w:t>Work Status</w:t>
      </w:r>
      <w:r>
        <w:t xml:space="preserve"> - reference definitions in the Client Reporting System Manual; based on </w:t>
      </w:r>
      <w:r w:rsidR="00C3444E">
        <w:t>Work Status at Enrollment</w:t>
      </w:r>
      <w:r>
        <w:t xml:space="preserve"> field</w:t>
      </w:r>
    </w:p>
    <w:p w:rsidR="00445A70" w:rsidRPr="00F23E10" w:rsidRDefault="00445A70" w:rsidP="00445A70">
      <w:pPr>
        <w:rPr>
          <w:b/>
          <w:sz w:val="28"/>
          <w:szCs w:val="28"/>
        </w:rPr>
      </w:pPr>
      <w:r w:rsidRPr="00F91542">
        <w:rPr>
          <w:b/>
          <w:sz w:val="28"/>
          <w:szCs w:val="28"/>
          <w:u w:val="single"/>
        </w:rPr>
        <w:t>Dimension Group</w:t>
      </w:r>
      <w:r w:rsidRPr="00F23E10">
        <w:rPr>
          <w:b/>
          <w:sz w:val="28"/>
          <w:szCs w:val="28"/>
        </w:rPr>
        <w:t>:</w:t>
      </w:r>
    </w:p>
    <w:p w:rsidR="00445A70" w:rsidRDefault="00445A70" w:rsidP="00445A70">
      <w:r>
        <w:rPr>
          <w:b/>
        </w:rPr>
        <w:t xml:space="preserve">Cohort Year </w:t>
      </w:r>
      <w:r>
        <w:t>– data is sourced to the WTCS Client Reporting System; the year the cohort is generated</w:t>
      </w:r>
    </w:p>
    <w:p w:rsidR="00445A70" w:rsidRDefault="00445A70" w:rsidP="00445A70">
      <w:pPr>
        <w:rPr>
          <w:b/>
          <w:sz w:val="28"/>
          <w:szCs w:val="28"/>
        </w:rPr>
      </w:pPr>
      <w:r>
        <w:rPr>
          <w:b/>
          <w:sz w:val="28"/>
          <w:szCs w:val="28"/>
        </w:rPr>
        <w:t>Dimensions</w:t>
      </w:r>
      <w:r w:rsidRPr="00F23E10">
        <w:rPr>
          <w:b/>
          <w:sz w:val="28"/>
          <w:szCs w:val="28"/>
        </w:rPr>
        <w:t>:</w:t>
      </w:r>
    </w:p>
    <w:p w:rsidR="00445A70" w:rsidRDefault="00445A70" w:rsidP="00445A70">
      <w:r>
        <w:rPr>
          <w:b/>
        </w:rPr>
        <w:t>Cohort Year</w:t>
      </w:r>
      <w:r>
        <w:t xml:space="preserve"> – reference definitions in the Client Reporting System Manual; based on Fiscal Year field</w:t>
      </w:r>
    </w:p>
    <w:p w:rsidR="000C3814" w:rsidRPr="00F23E10" w:rsidRDefault="000C3814" w:rsidP="000C3814">
      <w:pPr>
        <w:rPr>
          <w:b/>
          <w:sz w:val="28"/>
          <w:szCs w:val="28"/>
        </w:rPr>
      </w:pPr>
      <w:r w:rsidRPr="00F91542">
        <w:rPr>
          <w:b/>
          <w:sz w:val="28"/>
          <w:szCs w:val="28"/>
          <w:u w:val="single"/>
        </w:rPr>
        <w:t>Dimension Group</w:t>
      </w:r>
      <w:r w:rsidRPr="00F23E10">
        <w:rPr>
          <w:b/>
          <w:sz w:val="28"/>
          <w:szCs w:val="28"/>
        </w:rPr>
        <w:t>:</w:t>
      </w:r>
    </w:p>
    <w:p w:rsidR="000C3814" w:rsidRDefault="000C3814" w:rsidP="000C3814">
      <w:r>
        <w:rPr>
          <w:b/>
        </w:rPr>
        <w:t xml:space="preserve">Districts </w:t>
      </w:r>
      <w:r>
        <w:t>– data is sourced to the WTCS Client Reporting System</w:t>
      </w:r>
    </w:p>
    <w:p w:rsidR="000C3814" w:rsidRDefault="000C3814" w:rsidP="000C3814">
      <w:pPr>
        <w:rPr>
          <w:b/>
          <w:sz w:val="28"/>
          <w:szCs w:val="28"/>
        </w:rPr>
      </w:pPr>
      <w:r>
        <w:rPr>
          <w:b/>
          <w:sz w:val="28"/>
          <w:szCs w:val="28"/>
        </w:rPr>
        <w:t>Dimensions</w:t>
      </w:r>
      <w:r w:rsidRPr="00F23E10">
        <w:rPr>
          <w:b/>
          <w:sz w:val="28"/>
          <w:szCs w:val="28"/>
        </w:rPr>
        <w:t>:</w:t>
      </w:r>
    </w:p>
    <w:p w:rsidR="000C3814" w:rsidRDefault="000C3814" w:rsidP="000C3814">
      <w:r w:rsidRPr="00A16A76">
        <w:rPr>
          <w:b/>
        </w:rPr>
        <w:t>District</w:t>
      </w:r>
      <w:r>
        <w:t xml:space="preserve"> – </w:t>
      </w:r>
      <w:r w:rsidR="00A16A76">
        <w:t>reference definitions in the Client Reporting System Manual; combined field including the District Number field reported in the Client Reporting System and the associated district name</w:t>
      </w:r>
    </w:p>
    <w:p w:rsidR="00353E48" w:rsidRPr="00353E48" w:rsidRDefault="00A16A76" w:rsidP="00E47FE6">
      <w:r w:rsidRPr="00A16A76">
        <w:rPr>
          <w:b/>
        </w:rPr>
        <w:lastRenderedPageBreak/>
        <w:t>District</w:t>
      </w:r>
      <w:r>
        <w:rPr>
          <w:b/>
        </w:rPr>
        <w:t xml:space="preserve"> Code</w:t>
      </w:r>
      <w:r>
        <w:t xml:space="preserve"> – reference definitions in the Client Reporting System Manual; based on District Number field</w:t>
      </w:r>
    </w:p>
    <w:p w:rsidR="00A16A76" w:rsidRPr="00353E48" w:rsidRDefault="00A16A76" w:rsidP="00A16A76">
      <w:r w:rsidRPr="00A16A76">
        <w:rPr>
          <w:b/>
        </w:rPr>
        <w:t>District</w:t>
      </w:r>
      <w:r>
        <w:rPr>
          <w:b/>
        </w:rPr>
        <w:t xml:space="preserve"> Initials</w:t>
      </w:r>
      <w:r>
        <w:t xml:space="preserve"> – initials of district based on the District Number field in the Client Reporting System</w:t>
      </w:r>
    </w:p>
    <w:p w:rsidR="00A16A76" w:rsidRPr="00353E48" w:rsidRDefault="00A16A76" w:rsidP="00A16A76">
      <w:r w:rsidRPr="00A16A76">
        <w:rPr>
          <w:b/>
        </w:rPr>
        <w:t>District</w:t>
      </w:r>
      <w:r>
        <w:rPr>
          <w:b/>
        </w:rPr>
        <w:t xml:space="preserve"> Name</w:t>
      </w:r>
      <w:r>
        <w:t xml:space="preserve"> – district name based on the District Number field in the Client Reporting System</w:t>
      </w:r>
    </w:p>
    <w:p w:rsidR="00E47FE6" w:rsidRDefault="00A16A76">
      <w:r w:rsidRPr="00A16A76">
        <w:rPr>
          <w:b/>
        </w:rPr>
        <w:t>District</w:t>
      </w:r>
      <w:r>
        <w:rPr>
          <w:b/>
        </w:rPr>
        <w:t xml:space="preserve"> Short Name</w:t>
      </w:r>
      <w:r>
        <w:t xml:space="preserve"> – district name excluding “Technical College” verbiage; based on the District Number field in the Client Reporting System</w:t>
      </w:r>
    </w:p>
    <w:p w:rsidR="00A16A76" w:rsidRPr="00F23E10" w:rsidRDefault="00A16A76" w:rsidP="00A16A76">
      <w:pPr>
        <w:rPr>
          <w:b/>
          <w:sz w:val="28"/>
          <w:szCs w:val="28"/>
        </w:rPr>
      </w:pPr>
      <w:r w:rsidRPr="00F91542">
        <w:rPr>
          <w:b/>
          <w:sz w:val="28"/>
          <w:szCs w:val="28"/>
          <w:u w:val="single"/>
        </w:rPr>
        <w:t>Dimension Group</w:t>
      </w:r>
      <w:r w:rsidRPr="00F23E10">
        <w:rPr>
          <w:b/>
          <w:sz w:val="28"/>
          <w:szCs w:val="28"/>
        </w:rPr>
        <w:t>:</w:t>
      </w:r>
    </w:p>
    <w:p w:rsidR="00A16A76" w:rsidRDefault="00A16A76" w:rsidP="00A16A76">
      <w:r>
        <w:rPr>
          <w:b/>
        </w:rPr>
        <w:t xml:space="preserve">Program </w:t>
      </w:r>
      <w:r>
        <w:t>– data is sourced to the WTCS Client Reporting System</w:t>
      </w:r>
    </w:p>
    <w:p w:rsidR="00A16A76" w:rsidRDefault="00A16A76" w:rsidP="00A16A76">
      <w:pPr>
        <w:rPr>
          <w:b/>
          <w:sz w:val="28"/>
          <w:szCs w:val="28"/>
        </w:rPr>
      </w:pPr>
      <w:r>
        <w:rPr>
          <w:b/>
          <w:sz w:val="28"/>
          <w:szCs w:val="28"/>
        </w:rPr>
        <w:t>Dimensions</w:t>
      </w:r>
      <w:r w:rsidRPr="00F23E10">
        <w:rPr>
          <w:b/>
          <w:sz w:val="28"/>
          <w:szCs w:val="28"/>
        </w:rPr>
        <w:t>:</w:t>
      </w:r>
    </w:p>
    <w:p w:rsidR="00A16A76" w:rsidRDefault="00A16A76" w:rsidP="00A16A76">
      <w:r w:rsidRPr="00573675">
        <w:rPr>
          <w:b/>
        </w:rPr>
        <w:t>Career Cluster</w:t>
      </w:r>
      <w:r w:rsidRPr="00573675">
        <w:t xml:space="preserve"> –</w:t>
      </w:r>
      <w:r>
        <w:t xml:space="preserve"> </w:t>
      </w:r>
      <w:r w:rsidR="00573675">
        <w:t>Each program is assigned a Career Cluster; more information can be found on MyWTCS</w:t>
      </w:r>
    </w:p>
    <w:p w:rsidR="00921A22" w:rsidRDefault="00921A22" w:rsidP="00921A22">
      <w:r w:rsidRPr="004B2638">
        <w:rPr>
          <w:b/>
        </w:rPr>
        <w:t>CIP Code</w:t>
      </w:r>
      <w:r w:rsidRPr="004B2638">
        <w:t xml:space="preserve"> –</w:t>
      </w:r>
      <w:r>
        <w:t xml:space="preserve"> </w:t>
      </w:r>
      <w:r w:rsidR="004B2638">
        <w:t>Classification of Instructional Programs (CIP) assigned to an academic program during the program approval process</w:t>
      </w:r>
    </w:p>
    <w:p w:rsidR="00921A22" w:rsidRDefault="00921A22" w:rsidP="00921A22">
      <w:r w:rsidRPr="00573675">
        <w:rPr>
          <w:b/>
        </w:rPr>
        <w:t>Division</w:t>
      </w:r>
      <w:r w:rsidRPr="00573675">
        <w:t xml:space="preserve"> –</w:t>
      </w:r>
      <w:r>
        <w:t xml:space="preserve"> </w:t>
      </w:r>
      <w:r w:rsidR="00573675">
        <w:t>Each program is assigned a Division; division is assigned based on the first digit of the programs instructional area</w:t>
      </w:r>
    </w:p>
    <w:p w:rsidR="00921A22" w:rsidRDefault="00921A22" w:rsidP="00921A22">
      <w:r>
        <w:rPr>
          <w:b/>
        </w:rPr>
        <w:t>Instructional Area</w:t>
      </w:r>
      <w:r>
        <w:t xml:space="preserve"> – the description associated with the three digit instructional area code within the program number</w:t>
      </w:r>
    </w:p>
    <w:p w:rsidR="00921A22" w:rsidRDefault="00921A22" w:rsidP="00921A22">
      <w:r>
        <w:rPr>
          <w:b/>
        </w:rPr>
        <w:t>Instructional Area</w:t>
      </w:r>
      <w:r>
        <w:t xml:space="preserve"> </w:t>
      </w:r>
      <w:r w:rsidRPr="00921A22">
        <w:rPr>
          <w:b/>
        </w:rPr>
        <w:t>Code</w:t>
      </w:r>
      <w:r>
        <w:t xml:space="preserve"> – the three digit instructional area code associated with a program number ex. program number = 10-101-1 and instructional area code = 101</w:t>
      </w:r>
    </w:p>
    <w:p w:rsidR="00921A22" w:rsidRDefault="00921A22" w:rsidP="00921A22">
      <w:r>
        <w:rPr>
          <w:b/>
        </w:rPr>
        <w:t>NTO Bias</w:t>
      </w:r>
      <w:r>
        <w:t xml:space="preserve"> – identifies if a “Male Gender Bias”, “Female Gender Bias”, or “No Bias” exists for a program</w:t>
      </w:r>
    </w:p>
    <w:p w:rsidR="00921A22" w:rsidRDefault="00921A22" w:rsidP="00921A22">
      <w:r>
        <w:rPr>
          <w:b/>
        </w:rPr>
        <w:t>Program</w:t>
      </w:r>
      <w:r>
        <w:t xml:space="preserve"> – combination of the program number and the program title associated with the program number</w:t>
      </w:r>
    </w:p>
    <w:p w:rsidR="00921A22" w:rsidRDefault="00921A22" w:rsidP="00921A22">
      <w:r>
        <w:rPr>
          <w:b/>
        </w:rPr>
        <w:t>Program Ai</w:t>
      </w:r>
      <w:r w:rsidR="00FB05D9">
        <w:rPr>
          <w:b/>
        </w:rPr>
        <w:t>d Code</w:t>
      </w:r>
      <w:r>
        <w:t xml:space="preserve"> – </w:t>
      </w:r>
      <w:r w:rsidR="00FB05D9">
        <w:t>the first two digits of t</w:t>
      </w:r>
      <w:r>
        <w:t>he program number</w:t>
      </w:r>
    </w:p>
    <w:p w:rsidR="00FB05D9" w:rsidRDefault="00FB05D9" w:rsidP="00FB05D9">
      <w:r>
        <w:rPr>
          <w:b/>
        </w:rPr>
        <w:t>Program Number</w:t>
      </w:r>
      <w:r>
        <w:t xml:space="preserve"> – reference definitions in the Client Reporting System Manual; based on Program Number field</w:t>
      </w:r>
    </w:p>
    <w:p w:rsidR="007B1DBD" w:rsidRPr="00F23E10" w:rsidRDefault="007B1DBD" w:rsidP="007B1DBD">
      <w:pPr>
        <w:rPr>
          <w:b/>
          <w:sz w:val="28"/>
          <w:szCs w:val="28"/>
        </w:rPr>
      </w:pPr>
      <w:r w:rsidRPr="00F91542">
        <w:rPr>
          <w:b/>
          <w:sz w:val="28"/>
          <w:szCs w:val="28"/>
          <w:u w:val="single"/>
        </w:rPr>
        <w:t>Dimension Group</w:t>
      </w:r>
      <w:r w:rsidRPr="00F23E10">
        <w:rPr>
          <w:b/>
          <w:sz w:val="28"/>
          <w:szCs w:val="28"/>
        </w:rPr>
        <w:t>:</w:t>
      </w:r>
    </w:p>
    <w:p w:rsidR="007B1DBD" w:rsidRDefault="007B1DBD" w:rsidP="007B1DBD">
      <w:r>
        <w:rPr>
          <w:b/>
        </w:rPr>
        <w:t xml:space="preserve">Program Type </w:t>
      </w:r>
      <w:r>
        <w:t>– data is sourced to the WTCS Program Approval System</w:t>
      </w:r>
    </w:p>
    <w:p w:rsidR="007B1DBD" w:rsidRDefault="007B1DBD" w:rsidP="007B1DBD">
      <w:pPr>
        <w:rPr>
          <w:b/>
          <w:sz w:val="28"/>
          <w:szCs w:val="28"/>
        </w:rPr>
      </w:pPr>
      <w:r>
        <w:rPr>
          <w:b/>
          <w:sz w:val="28"/>
          <w:szCs w:val="28"/>
        </w:rPr>
        <w:t>Dimensions</w:t>
      </w:r>
      <w:r w:rsidRPr="00F23E10">
        <w:rPr>
          <w:b/>
          <w:sz w:val="28"/>
          <w:szCs w:val="28"/>
        </w:rPr>
        <w:t>:</w:t>
      </w:r>
    </w:p>
    <w:p w:rsidR="007B1DBD" w:rsidRDefault="007B1DBD" w:rsidP="007B1DBD">
      <w:r>
        <w:rPr>
          <w:b/>
        </w:rPr>
        <w:t>Program Type</w:t>
      </w:r>
      <w:r w:rsidRPr="00573675">
        <w:t xml:space="preserve"> –</w:t>
      </w:r>
      <w:r>
        <w:t xml:space="preserve"> Programs can be assigned a program type that can be unique to the district; this is the field that the WTCS uses to flag Embedded Technical Diplomas, shared programs, etc.</w:t>
      </w:r>
    </w:p>
    <w:p w:rsidR="007B1DBD" w:rsidRDefault="007B1DBD" w:rsidP="005F0668">
      <w:pPr>
        <w:rPr>
          <w:b/>
          <w:sz w:val="28"/>
          <w:szCs w:val="28"/>
          <w:u w:val="single"/>
        </w:rPr>
      </w:pPr>
    </w:p>
    <w:p w:rsidR="007B1DBD" w:rsidRDefault="007B1DBD" w:rsidP="005F0668">
      <w:pPr>
        <w:rPr>
          <w:b/>
          <w:sz w:val="28"/>
          <w:szCs w:val="28"/>
          <w:u w:val="single"/>
        </w:rPr>
      </w:pPr>
    </w:p>
    <w:p w:rsidR="005F0668" w:rsidRPr="00F23E10" w:rsidRDefault="005F0668" w:rsidP="005F0668">
      <w:pPr>
        <w:rPr>
          <w:b/>
          <w:sz w:val="28"/>
          <w:szCs w:val="28"/>
        </w:rPr>
      </w:pPr>
      <w:r w:rsidRPr="00F91542">
        <w:rPr>
          <w:b/>
          <w:sz w:val="28"/>
          <w:szCs w:val="28"/>
          <w:u w:val="single"/>
        </w:rPr>
        <w:lastRenderedPageBreak/>
        <w:t>Dimension Group</w:t>
      </w:r>
      <w:r w:rsidRPr="00F23E10">
        <w:rPr>
          <w:b/>
          <w:sz w:val="28"/>
          <w:szCs w:val="28"/>
        </w:rPr>
        <w:t>:</w:t>
      </w:r>
    </w:p>
    <w:p w:rsidR="005F0668" w:rsidRDefault="005F0668" w:rsidP="005F0668">
      <w:r>
        <w:rPr>
          <w:b/>
        </w:rPr>
        <w:t xml:space="preserve">Report Year </w:t>
      </w:r>
      <w:r>
        <w:t>– data is sourced to the WTCS Client Reporting System; the last year the cohort is assessed</w:t>
      </w:r>
    </w:p>
    <w:p w:rsidR="005F0668" w:rsidRDefault="005F0668" w:rsidP="005F0668">
      <w:pPr>
        <w:rPr>
          <w:b/>
          <w:sz w:val="28"/>
          <w:szCs w:val="28"/>
        </w:rPr>
      </w:pPr>
      <w:r>
        <w:rPr>
          <w:b/>
          <w:sz w:val="28"/>
          <w:szCs w:val="28"/>
        </w:rPr>
        <w:t>Dimensions</w:t>
      </w:r>
      <w:r w:rsidRPr="00F23E10">
        <w:rPr>
          <w:b/>
          <w:sz w:val="28"/>
          <w:szCs w:val="28"/>
        </w:rPr>
        <w:t>:</w:t>
      </w:r>
    </w:p>
    <w:p w:rsidR="005F0668" w:rsidRDefault="005F0668" w:rsidP="005F0668">
      <w:r>
        <w:rPr>
          <w:b/>
        </w:rPr>
        <w:t>Report Year</w:t>
      </w:r>
      <w:r>
        <w:t xml:space="preserve"> – reference definitions in the Client Reporting System Manual; based on Fiscal Year field</w:t>
      </w:r>
    </w:p>
    <w:p w:rsidR="005F0668" w:rsidRDefault="005F0668" w:rsidP="007B16C0"/>
    <w:p w:rsidR="005E3B17" w:rsidRDefault="005E3B17" w:rsidP="007B16C0"/>
    <w:p w:rsidR="005E3B17" w:rsidRDefault="005E3B17" w:rsidP="007B16C0"/>
    <w:p w:rsidR="007B1DBD" w:rsidRDefault="007B1DBD" w:rsidP="007B16C0"/>
    <w:p w:rsidR="007B1DBD" w:rsidRDefault="007B1DBD" w:rsidP="007B16C0"/>
    <w:p w:rsidR="007B1DBD" w:rsidRDefault="007B1DBD" w:rsidP="007B16C0"/>
    <w:p w:rsidR="007B1DBD" w:rsidRDefault="007B1DBD" w:rsidP="007B16C0"/>
    <w:p w:rsidR="007B1DBD" w:rsidRDefault="007B1DBD" w:rsidP="007B16C0"/>
    <w:p w:rsidR="007B1DBD" w:rsidRDefault="007B1DBD" w:rsidP="007B16C0"/>
    <w:p w:rsidR="007B1DBD" w:rsidRDefault="007B1DBD" w:rsidP="007B16C0"/>
    <w:p w:rsidR="007B1DBD" w:rsidRDefault="007B1DBD" w:rsidP="007B16C0"/>
    <w:p w:rsidR="007B1DBD" w:rsidRDefault="007B1DBD" w:rsidP="007B16C0"/>
    <w:p w:rsidR="007B1DBD" w:rsidRDefault="007B1DBD" w:rsidP="007B16C0"/>
    <w:p w:rsidR="007B1DBD" w:rsidRDefault="007B1DBD" w:rsidP="007B16C0"/>
    <w:p w:rsidR="007B1DBD" w:rsidRDefault="007B1DBD" w:rsidP="007B16C0"/>
    <w:p w:rsidR="007B1DBD" w:rsidRDefault="007B1DBD" w:rsidP="007B16C0"/>
    <w:p w:rsidR="007B1DBD" w:rsidRDefault="007B1DBD" w:rsidP="007B16C0"/>
    <w:p w:rsidR="007B1DBD" w:rsidRDefault="007B1DBD" w:rsidP="007B16C0"/>
    <w:p w:rsidR="007B1DBD" w:rsidRDefault="007B1DBD" w:rsidP="007B16C0"/>
    <w:p w:rsidR="007B1DBD" w:rsidRDefault="007B1DBD" w:rsidP="007B16C0"/>
    <w:p w:rsidR="007B1DBD" w:rsidRDefault="007B1DBD" w:rsidP="007B16C0"/>
    <w:p w:rsidR="007B1DBD" w:rsidRDefault="007B1DBD" w:rsidP="007B16C0"/>
    <w:p w:rsidR="00CB40C3" w:rsidRPr="00CB40C3" w:rsidRDefault="00CB40C3" w:rsidP="00573675">
      <w:pPr>
        <w:pStyle w:val="Heading1"/>
        <w:rPr>
          <w:b/>
          <w:i/>
          <w:sz w:val="36"/>
          <w:szCs w:val="36"/>
        </w:rPr>
      </w:pPr>
      <w:bookmarkStart w:id="3" w:name="_Toc449425172"/>
      <w:r>
        <w:rPr>
          <w:b/>
          <w:i/>
          <w:sz w:val="36"/>
          <w:szCs w:val="36"/>
        </w:rPr>
        <w:lastRenderedPageBreak/>
        <w:t>How to Use the Data</w:t>
      </w:r>
      <w:r w:rsidRPr="00CB40C3">
        <w:rPr>
          <w:b/>
          <w:i/>
          <w:sz w:val="36"/>
          <w:szCs w:val="36"/>
        </w:rPr>
        <w:t>:</w:t>
      </w:r>
      <w:bookmarkEnd w:id="3"/>
    </w:p>
    <w:p w:rsidR="00CB40C3" w:rsidRDefault="00CB40C3" w:rsidP="00921A22">
      <w:r>
        <w:t>The purpose of the QRP Cubes is to provide Colleges with business intelligence resources to drive continuous improvement efforts.  Below are some example uses of the various dimension groups to assist in continuous improvement.</w:t>
      </w:r>
    </w:p>
    <w:tbl>
      <w:tblPr>
        <w:tblW w:w="0" w:type="auto"/>
        <w:tblInd w:w="-5" w:type="dxa"/>
        <w:tblLook w:val="04A0" w:firstRow="1" w:lastRow="0" w:firstColumn="1" w:lastColumn="0" w:noHBand="0" w:noVBand="1"/>
      </w:tblPr>
      <w:tblGrid>
        <w:gridCol w:w="2140"/>
        <w:gridCol w:w="7215"/>
      </w:tblGrid>
      <w:tr w:rsidR="00CB40C3" w:rsidRPr="00CB40C3" w:rsidTr="00CB40C3">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E2EFDA"/>
            <w:noWrap/>
            <w:vAlign w:val="bottom"/>
            <w:hideMark/>
          </w:tcPr>
          <w:p w:rsidR="00CB40C3" w:rsidRPr="00CB40C3" w:rsidRDefault="00CB40C3" w:rsidP="00CB40C3">
            <w:pPr>
              <w:spacing w:after="0" w:line="240" w:lineRule="auto"/>
              <w:rPr>
                <w:rFonts w:ascii="Calibri" w:eastAsia="Times New Roman" w:hAnsi="Calibri" w:cs="Times New Roman"/>
                <w:b/>
                <w:bCs/>
                <w:color w:val="000000"/>
                <w:sz w:val="24"/>
                <w:szCs w:val="24"/>
              </w:rPr>
            </w:pPr>
            <w:r w:rsidRPr="00CB40C3">
              <w:rPr>
                <w:rFonts w:ascii="Calibri" w:eastAsia="Times New Roman" w:hAnsi="Calibri" w:cs="Times New Roman"/>
                <w:b/>
                <w:bCs/>
                <w:color w:val="000000"/>
                <w:sz w:val="24"/>
                <w:szCs w:val="24"/>
              </w:rPr>
              <w:t>Dimension Group</w:t>
            </w:r>
          </w:p>
        </w:tc>
        <w:tc>
          <w:tcPr>
            <w:tcW w:w="0" w:type="auto"/>
            <w:tcBorders>
              <w:top w:val="single" w:sz="4" w:space="0" w:color="auto"/>
              <w:left w:val="nil"/>
              <w:bottom w:val="single" w:sz="4" w:space="0" w:color="auto"/>
              <w:right w:val="single" w:sz="4" w:space="0" w:color="auto"/>
            </w:tcBorders>
            <w:shd w:val="clear" w:color="000000" w:fill="E2EFDA"/>
            <w:noWrap/>
            <w:vAlign w:val="bottom"/>
            <w:hideMark/>
          </w:tcPr>
          <w:p w:rsidR="00CB40C3" w:rsidRPr="00CB40C3" w:rsidRDefault="00CB40C3" w:rsidP="00CB40C3">
            <w:pPr>
              <w:spacing w:after="0" w:line="240" w:lineRule="auto"/>
              <w:rPr>
                <w:rFonts w:ascii="Calibri" w:eastAsia="Times New Roman" w:hAnsi="Calibri" w:cs="Times New Roman"/>
                <w:b/>
                <w:bCs/>
                <w:color w:val="000000"/>
                <w:sz w:val="24"/>
                <w:szCs w:val="24"/>
              </w:rPr>
            </w:pPr>
            <w:r w:rsidRPr="00CB40C3">
              <w:rPr>
                <w:rFonts w:ascii="Calibri" w:eastAsia="Times New Roman" w:hAnsi="Calibri" w:cs="Times New Roman"/>
                <w:b/>
                <w:bCs/>
                <w:color w:val="000000"/>
                <w:sz w:val="24"/>
                <w:szCs w:val="24"/>
              </w:rPr>
              <w:t>Example Uses</w:t>
            </w:r>
          </w:p>
        </w:tc>
      </w:tr>
      <w:tr w:rsidR="00CB40C3" w:rsidRPr="00CB40C3" w:rsidTr="00CB40C3">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CB40C3" w:rsidRPr="00CB40C3" w:rsidRDefault="00CB40C3" w:rsidP="00CB40C3">
            <w:pPr>
              <w:spacing w:after="0" w:line="240" w:lineRule="auto"/>
              <w:rPr>
                <w:rFonts w:ascii="Calibri" w:eastAsia="Times New Roman" w:hAnsi="Calibri" w:cs="Times New Roman"/>
                <w:color w:val="000000"/>
                <w:sz w:val="24"/>
                <w:szCs w:val="24"/>
              </w:rPr>
            </w:pPr>
            <w:r w:rsidRPr="00CB40C3">
              <w:rPr>
                <w:rFonts w:ascii="Calibri" w:eastAsia="Times New Roman" w:hAnsi="Calibri" w:cs="Times New Roman"/>
                <w:color w:val="000000"/>
                <w:sz w:val="24"/>
                <w:szCs w:val="24"/>
              </w:rPr>
              <w:t>Client Demographic</w:t>
            </w:r>
          </w:p>
        </w:tc>
        <w:tc>
          <w:tcPr>
            <w:tcW w:w="0" w:type="auto"/>
            <w:tcBorders>
              <w:top w:val="nil"/>
              <w:left w:val="nil"/>
              <w:bottom w:val="single" w:sz="4" w:space="0" w:color="auto"/>
              <w:right w:val="single" w:sz="4" w:space="0" w:color="auto"/>
            </w:tcBorders>
            <w:shd w:val="clear" w:color="auto" w:fill="auto"/>
            <w:vAlign w:val="bottom"/>
            <w:hideMark/>
          </w:tcPr>
          <w:p w:rsidR="00CB40C3" w:rsidRPr="00CB40C3" w:rsidRDefault="00CB40C3" w:rsidP="002B571E">
            <w:pPr>
              <w:spacing w:after="0" w:line="240" w:lineRule="auto"/>
              <w:rPr>
                <w:rFonts w:ascii="Calibri" w:eastAsia="Times New Roman" w:hAnsi="Calibri" w:cs="Times New Roman"/>
                <w:color w:val="000000"/>
                <w:sz w:val="24"/>
                <w:szCs w:val="24"/>
              </w:rPr>
            </w:pPr>
            <w:r w:rsidRPr="00CB40C3">
              <w:rPr>
                <w:rFonts w:ascii="Calibri" w:eastAsia="Times New Roman" w:hAnsi="Calibri" w:cs="Times New Roman"/>
                <w:color w:val="000000"/>
                <w:sz w:val="24"/>
                <w:szCs w:val="24"/>
              </w:rPr>
              <w:t xml:space="preserve">Identify which demographic groups are </w:t>
            </w:r>
            <w:r w:rsidR="002B571E">
              <w:rPr>
                <w:rFonts w:ascii="Calibri" w:eastAsia="Times New Roman" w:hAnsi="Calibri" w:cs="Times New Roman"/>
                <w:color w:val="000000"/>
                <w:sz w:val="24"/>
                <w:szCs w:val="24"/>
              </w:rPr>
              <w:t>positively</w:t>
            </w:r>
            <w:r w:rsidRPr="00CB40C3">
              <w:rPr>
                <w:rFonts w:ascii="Calibri" w:eastAsia="Times New Roman" w:hAnsi="Calibri" w:cs="Times New Roman"/>
                <w:color w:val="000000"/>
                <w:sz w:val="24"/>
                <w:szCs w:val="24"/>
              </w:rPr>
              <w:t xml:space="preserve"> or </w:t>
            </w:r>
            <w:r w:rsidR="002B571E">
              <w:rPr>
                <w:rFonts w:ascii="Calibri" w:eastAsia="Times New Roman" w:hAnsi="Calibri" w:cs="Times New Roman"/>
                <w:color w:val="000000"/>
                <w:sz w:val="24"/>
                <w:szCs w:val="24"/>
              </w:rPr>
              <w:t>negatively impacting QRP indicators</w:t>
            </w:r>
            <w:r w:rsidRPr="00CB40C3">
              <w:rPr>
                <w:rFonts w:ascii="Calibri" w:eastAsia="Times New Roman" w:hAnsi="Calibri" w:cs="Times New Roman"/>
                <w:color w:val="000000"/>
                <w:sz w:val="24"/>
                <w:szCs w:val="24"/>
              </w:rPr>
              <w:t>.</w:t>
            </w:r>
          </w:p>
        </w:tc>
      </w:tr>
      <w:tr w:rsidR="00445A70" w:rsidRPr="00CB40C3" w:rsidTr="00445A70">
        <w:trPr>
          <w:trHeight w:val="278"/>
        </w:trPr>
        <w:tc>
          <w:tcPr>
            <w:tcW w:w="0" w:type="auto"/>
            <w:tcBorders>
              <w:top w:val="nil"/>
              <w:left w:val="single" w:sz="4" w:space="0" w:color="auto"/>
              <w:bottom w:val="single" w:sz="4" w:space="0" w:color="auto"/>
              <w:right w:val="single" w:sz="4" w:space="0" w:color="auto"/>
            </w:tcBorders>
            <w:shd w:val="clear" w:color="auto" w:fill="auto"/>
            <w:noWrap/>
          </w:tcPr>
          <w:p w:rsidR="00445A70" w:rsidRPr="00CB40C3" w:rsidRDefault="00445A70" w:rsidP="00CB40C3">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Cohort Year</w:t>
            </w:r>
          </w:p>
        </w:tc>
        <w:tc>
          <w:tcPr>
            <w:tcW w:w="0" w:type="auto"/>
            <w:tcBorders>
              <w:top w:val="nil"/>
              <w:left w:val="nil"/>
              <w:bottom w:val="single" w:sz="4" w:space="0" w:color="auto"/>
              <w:right w:val="single" w:sz="4" w:space="0" w:color="auto"/>
            </w:tcBorders>
            <w:shd w:val="clear" w:color="auto" w:fill="auto"/>
            <w:vAlign w:val="bottom"/>
          </w:tcPr>
          <w:p w:rsidR="00445A70" w:rsidRPr="00CB40C3" w:rsidRDefault="00445A70" w:rsidP="00CB40C3">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Track a cohort for up to six years to identify tipping points in retention.</w:t>
            </w:r>
          </w:p>
        </w:tc>
      </w:tr>
      <w:tr w:rsidR="005F0668" w:rsidRPr="00CB40C3" w:rsidTr="00CB40C3">
        <w:trPr>
          <w:trHeight w:val="600"/>
        </w:trPr>
        <w:tc>
          <w:tcPr>
            <w:tcW w:w="0" w:type="auto"/>
            <w:tcBorders>
              <w:top w:val="nil"/>
              <w:left w:val="single" w:sz="4" w:space="0" w:color="auto"/>
              <w:bottom w:val="single" w:sz="4" w:space="0" w:color="auto"/>
              <w:right w:val="single" w:sz="4" w:space="0" w:color="auto"/>
            </w:tcBorders>
            <w:shd w:val="clear" w:color="auto" w:fill="auto"/>
            <w:noWrap/>
            <w:hideMark/>
          </w:tcPr>
          <w:p w:rsidR="005F0668" w:rsidRPr="00CB40C3" w:rsidRDefault="005F0668" w:rsidP="00CB40C3">
            <w:pPr>
              <w:spacing w:after="0" w:line="240" w:lineRule="auto"/>
              <w:rPr>
                <w:rFonts w:ascii="Calibri" w:eastAsia="Times New Roman" w:hAnsi="Calibri" w:cs="Times New Roman"/>
                <w:color w:val="000000"/>
                <w:sz w:val="24"/>
                <w:szCs w:val="24"/>
              </w:rPr>
            </w:pPr>
            <w:r w:rsidRPr="00CB40C3">
              <w:rPr>
                <w:rFonts w:ascii="Calibri" w:eastAsia="Times New Roman" w:hAnsi="Calibri" w:cs="Times New Roman"/>
                <w:color w:val="000000"/>
                <w:sz w:val="24"/>
                <w:szCs w:val="24"/>
              </w:rPr>
              <w:t>Districts</w:t>
            </w:r>
          </w:p>
        </w:tc>
        <w:tc>
          <w:tcPr>
            <w:tcW w:w="0" w:type="auto"/>
            <w:tcBorders>
              <w:top w:val="nil"/>
              <w:left w:val="nil"/>
              <w:bottom w:val="single" w:sz="4" w:space="0" w:color="auto"/>
              <w:right w:val="single" w:sz="4" w:space="0" w:color="auto"/>
            </w:tcBorders>
            <w:shd w:val="clear" w:color="auto" w:fill="auto"/>
            <w:vAlign w:val="bottom"/>
            <w:hideMark/>
          </w:tcPr>
          <w:p w:rsidR="005F0668" w:rsidRPr="00CB40C3" w:rsidRDefault="005F0668" w:rsidP="00CB40C3">
            <w:pPr>
              <w:spacing w:after="0" w:line="240" w:lineRule="auto"/>
              <w:rPr>
                <w:rFonts w:ascii="Calibri" w:eastAsia="Times New Roman" w:hAnsi="Calibri" w:cs="Times New Roman"/>
                <w:color w:val="000000"/>
                <w:sz w:val="24"/>
                <w:szCs w:val="24"/>
              </w:rPr>
            </w:pPr>
            <w:r w:rsidRPr="00CB40C3">
              <w:rPr>
                <w:rFonts w:ascii="Calibri" w:eastAsia="Times New Roman" w:hAnsi="Calibri" w:cs="Times New Roman"/>
                <w:color w:val="000000"/>
                <w:sz w:val="24"/>
                <w:szCs w:val="24"/>
              </w:rPr>
              <w:t>Benchmark successes or areas for improvement with other districts.</w:t>
            </w:r>
            <w:r>
              <w:rPr>
                <w:rFonts w:ascii="Calibri" w:eastAsia="Times New Roman" w:hAnsi="Calibri" w:cs="Times New Roman"/>
                <w:color w:val="000000"/>
                <w:sz w:val="24"/>
                <w:szCs w:val="24"/>
              </w:rPr>
              <w:t xml:space="preserve">  Data can be used to prompt an in-depth conversation with other districts for best-practice sharing.</w:t>
            </w:r>
          </w:p>
        </w:tc>
      </w:tr>
      <w:tr w:rsidR="005F0668" w:rsidRPr="00CB40C3" w:rsidTr="005F0668">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5F0668" w:rsidRPr="00CB40C3" w:rsidRDefault="005F0668" w:rsidP="00CB40C3">
            <w:pPr>
              <w:spacing w:after="0" w:line="240" w:lineRule="auto"/>
              <w:rPr>
                <w:rFonts w:ascii="Calibri" w:eastAsia="Times New Roman" w:hAnsi="Calibri" w:cs="Times New Roman"/>
                <w:color w:val="000000"/>
                <w:sz w:val="24"/>
                <w:szCs w:val="24"/>
              </w:rPr>
            </w:pPr>
            <w:r w:rsidRPr="00CB40C3">
              <w:rPr>
                <w:rFonts w:ascii="Calibri" w:eastAsia="Times New Roman" w:hAnsi="Calibri" w:cs="Times New Roman"/>
                <w:color w:val="000000"/>
                <w:sz w:val="24"/>
                <w:szCs w:val="24"/>
              </w:rPr>
              <w:t>Programs</w:t>
            </w:r>
          </w:p>
        </w:tc>
        <w:tc>
          <w:tcPr>
            <w:tcW w:w="0" w:type="auto"/>
            <w:tcBorders>
              <w:top w:val="nil"/>
              <w:left w:val="nil"/>
              <w:bottom w:val="single" w:sz="4" w:space="0" w:color="auto"/>
              <w:right w:val="single" w:sz="4" w:space="0" w:color="auto"/>
            </w:tcBorders>
            <w:shd w:val="clear" w:color="auto" w:fill="auto"/>
            <w:vAlign w:val="bottom"/>
            <w:hideMark/>
          </w:tcPr>
          <w:p w:rsidR="005F0668" w:rsidRPr="00CB40C3" w:rsidRDefault="005F0668" w:rsidP="002B571E">
            <w:pPr>
              <w:spacing w:after="0" w:line="240" w:lineRule="auto"/>
              <w:rPr>
                <w:rFonts w:ascii="Calibri" w:eastAsia="Times New Roman" w:hAnsi="Calibri" w:cs="Times New Roman"/>
                <w:color w:val="000000"/>
                <w:sz w:val="24"/>
                <w:szCs w:val="24"/>
              </w:rPr>
            </w:pPr>
            <w:r w:rsidRPr="00CB40C3">
              <w:rPr>
                <w:rFonts w:ascii="Calibri" w:eastAsia="Times New Roman" w:hAnsi="Calibri" w:cs="Times New Roman"/>
                <w:color w:val="000000"/>
                <w:sz w:val="24"/>
                <w:szCs w:val="24"/>
              </w:rPr>
              <w:t xml:space="preserve">Identify which programs have high or low success rates and identify </w:t>
            </w:r>
            <w:r>
              <w:rPr>
                <w:rFonts w:ascii="Calibri" w:eastAsia="Times New Roman" w:hAnsi="Calibri" w:cs="Times New Roman"/>
                <w:color w:val="000000"/>
                <w:sz w:val="24"/>
                <w:szCs w:val="24"/>
              </w:rPr>
              <w:t>QRP indicator</w:t>
            </w:r>
            <w:r w:rsidRPr="00CB40C3">
              <w:rPr>
                <w:rFonts w:ascii="Calibri" w:eastAsia="Times New Roman" w:hAnsi="Calibri" w:cs="Times New Roman"/>
                <w:color w:val="000000"/>
                <w:sz w:val="24"/>
                <w:szCs w:val="24"/>
              </w:rPr>
              <w:t xml:space="preserve"> benchmarks </w:t>
            </w:r>
            <w:r>
              <w:rPr>
                <w:rFonts w:ascii="Calibri" w:eastAsia="Times New Roman" w:hAnsi="Calibri" w:cs="Times New Roman"/>
                <w:color w:val="000000"/>
                <w:sz w:val="24"/>
                <w:szCs w:val="24"/>
              </w:rPr>
              <w:t xml:space="preserve">by </w:t>
            </w:r>
            <w:r w:rsidRPr="00CB40C3">
              <w:rPr>
                <w:rFonts w:ascii="Calibri" w:eastAsia="Times New Roman" w:hAnsi="Calibri" w:cs="Times New Roman"/>
                <w:color w:val="000000"/>
                <w:sz w:val="24"/>
                <w:szCs w:val="24"/>
              </w:rPr>
              <w:t>career cluster or division.</w:t>
            </w:r>
          </w:p>
        </w:tc>
      </w:tr>
      <w:tr w:rsidR="005F0668" w:rsidRPr="00CB40C3" w:rsidTr="005F066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5F0668" w:rsidRPr="00CB40C3" w:rsidRDefault="00A62E6A" w:rsidP="00CB40C3">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Report</w:t>
            </w:r>
            <w:r w:rsidR="005F0668" w:rsidRPr="00CB40C3">
              <w:rPr>
                <w:rFonts w:ascii="Calibri" w:eastAsia="Times New Roman" w:hAnsi="Calibri" w:cs="Times New Roman"/>
                <w:color w:val="000000"/>
                <w:sz w:val="24"/>
                <w:szCs w:val="24"/>
              </w:rPr>
              <w:t xml:space="preserve"> Year</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5F0668" w:rsidRPr="00CB40C3" w:rsidRDefault="005F0668" w:rsidP="00CB40C3">
            <w:pPr>
              <w:spacing w:after="0" w:line="240" w:lineRule="auto"/>
              <w:rPr>
                <w:rFonts w:ascii="Calibri" w:eastAsia="Times New Roman" w:hAnsi="Calibri" w:cs="Times New Roman"/>
                <w:color w:val="000000"/>
                <w:sz w:val="24"/>
                <w:szCs w:val="24"/>
              </w:rPr>
            </w:pPr>
            <w:r w:rsidRPr="00CB40C3">
              <w:rPr>
                <w:rFonts w:ascii="Calibri" w:eastAsia="Times New Roman" w:hAnsi="Calibri" w:cs="Times New Roman"/>
                <w:color w:val="000000"/>
                <w:sz w:val="24"/>
                <w:szCs w:val="24"/>
              </w:rPr>
              <w:t xml:space="preserve">Identify trends </w:t>
            </w:r>
            <w:r>
              <w:rPr>
                <w:rFonts w:ascii="Calibri" w:eastAsia="Times New Roman" w:hAnsi="Calibri" w:cs="Times New Roman"/>
                <w:color w:val="000000"/>
                <w:sz w:val="24"/>
                <w:szCs w:val="24"/>
              </w:rPr>
              <w:t>for QRP indicators</w:t>
            </w:r>
            <w:r w:rsidRPr="00CB40C3">
              <w:rPr>
                <w:rFonts w:ascii="Calibri" w:eastAsia="Times New Roman" w:hAnsi="Calibri" w:cs="Times New Roman"/>
                <w:color w:val="000000"/>
                <w:sz w:val="24"/>
                <w:szCs w:val="24"/>
              </w:rPr>
              <w:t>.</w:t>
            </w:r>
          </w:p>
        </w:tc>
      </w:tr>
      <w:tr w:rsidR="005F0668" w:rsidRPr="00CB40C3" w:rsidTr="005F0668">
        <w:trPr>
          <w:trHeight w:val="300"/>
        </w:trPr>
        <w:tc>
          <w:tcPr>
            <w:tcW w:w="0" w:type="auto"/>
            <w:tcBorders>
              <w:top w:val="single" w:sz="4" w:space="0" w:color="auto"/>
            </w:tcBorders>
            <w:shd w:val="clear" w:color="auto" w:fill="auto"/>
            <w:noWrap/>
          </w:tcPr>
          <w:p w:rsidR="005F0668" w:rsidRPr="00CB40C3" w:rsidRDefault="005F0668" w:rsidP="00CB40C3">
            <w:pPr>
              <w:spacing w:after="0" w:line="240" w:lineRule="auto"/>
              <w:rPr>
                <w:rFonts w:ascii="Calibri" w:eastAsia="Times New Roman" w:hAnsi="Calibri" w:cs="Times New Roman"/>
                <w:color w:val="000000"/>
                <w:sz w:val="24"/>
                <w:szCs w:val="24"/>
              </w:rPr>
            </w:pPr>
          </w:p>
        </w:tc>
        <w:tc>
          <w:tcPr>
            <w:tcW w:w="0" w:type="auto"/>
            <w:tcBorders>
              <w:top w:val="single" w:sz="4" w:space="0" w:color="auto"/>
            </w:tcBorders>
            <w:shd w:val="clear" w:color="auto" w:fill="auto"/>
            <w:vAlign w:val="bottom"/>
          </w:tcPr>
          <w:p w:rsidR="005F0668" w:rsidRPr="00CB40C3" w:rsidRDefault="005F0668" w:rsidP="00CB40C3">
            <w:pPr>
              <w:spacing w:after="0" w:line="240" w:lineRule="auto"/>
              <w:rPr>
                <w:rFonts w:ascii="Calibri" w:eastAsia="Times New Roman" w:hAnsi="Calibri" w:cs="Times New Roman"/>
                <w:color w:val="000000"/>
                <w:sz w:val="24"/>
                <w:szCs w:val="24"/>
              </w:rPr>
            </w:pPr>
          </w:p>
        </w:tc>
      </w:tr>
      <w:tr w:rsidR="005F0668" w:rsidRPr="00CB40C3" w:rsidTr="005F0668">
        <w:trPr>
          <w:trHeight w:val="300"/>
        </w:trPr>
        <w:tc>
          <w:tcPr>
            <w:tcW w:w="0" w:type="auto"/>
            <w:tcBorders>
              <w:top w:val="nil"/>
            </w:tcBorders>
            <w:shd w:val="clear" w:color="auto" w:fill="auto"/>
            <w:noWrap/>
          </w:tcPr>
          <w:p w:rsidR="005F0668" w:rsidRPr="00CB40C3" w:rsidRDefault="005F0668" w:rsidP="00CB40C3">
            <w:pPr>
              <w:spacing w:after="0" w:line="240" w:lineRule="auto"/>
              <w:rPr>
                <w:rFonts w:ascii="Calibri" w:eastAsia="Times New Roman" w:hAnsi="Calibri" w:cs="Times New Roman"/>
                <w:color w:val="000000"/>
                <w:sz w:val="24"/>
                <w:szCs w:val="24"/>
              </w:rPr>
            </w:pPr>
          </w:p>
        </w:tc>
        <w:tc>
          <w:tcPr>
            <w:tcW w:w="0" w:type="auto"/>
            <w:tcBorders>
              <w:top w:val="nil"/>
            </w:tcBorders>
            <w:shd w:val="clear" w:color="auto" w:fill="auto"/>
            <w:vAlign w:val="bottom"/>
          </w:tcPr>
          <w:p w:rsidR="005F0668" w:rsidRPr="00CB40C3" w:rsidRDefault="005F0668" w:rsidP="00CB40C3">
            <w:pPr>
              <w:spacing w:after="0" w:line="240" w:lineRule="auto"/>
              <w:rPr>
                <w:rFonts w:ascii="Calibri" w:eastAsia="Times New Roman" w:hAnsi="Calibri" w:cs="Times New Roman"/>
                <w:color w:val="000000"/>
                <w:sz w:val="24"/>
                <w:szCs w:val="24"/>
              </w:rPr>
            </w:pPr>
          </w:p>
        </w:tc>
      </w:tr>
      <w:tr w:rsidR="005F0668" w:rsidRPr="00CB40C3" w:rsidTr="005F0668">
        <w:trPr>
          <w:trHeight w:val="300"/>
        </w:trPr>
        <w:tc>
          <w:tcPr>
            <w:tcW w:w="0" w:type="auto"/>
            <w:tcBorders>
              <w:top w:val="nil"/>
            </w:tcBorders>
            <w:shd w:val="clear" w:color="auto" w:fill="auto"/>
            <w:noWrap/>
          </w:tcPr>
          <w:p w:rsidR="005F0668" w:rsidRPr="00CB40C3" w:rsidRDefault="005F0668" w:rsidP="00CB40C3">
            <w:pPr>
              <w:spacing w:after="0" w:line="240" w:lineRule="auto"/>
              <w:rPr>
                <w:rFonts w:ascii="Calibri" w:eastAsia="Times New Roman" w:hAnsi="Calibri" w:cs="Times New Roman"/>
                <w:color w:val="000000"/>
                <w:sz w:val="24"/>
                <w:szCs w:val="24"/>
              </w:rPr>
            </w:pPr>
          </w:p>
        </w:tc>
        <w:tc>
          <w:tcPr>
            <w:tcW w:w="0" w:type="auto"/>
            <w:tcBorders>
              <w:top w:val="nil"/>
            </w:tcBorders>
            <w:shd w:val="clear" w:color="auto" w:fill="auto"/>
            <w:vAlign w:val="bottom"/>
          </w:tcPr>
          <w:p w:rsidR="005F0668" w:rsidRPr="00CB40C3" w:rsidRDefault="005F0668" w:rsidP="00CB40C3">
            <w:pPr>
              <w:spacing w:after="0" w:line="240" w:lineRule="auto"/>
              <w:rPr>
                <w:rFonts w:ascii="Calibri" w:eastAsia="Times New Roman" w:hAnsi="Calibri" w:cs="Times New Roman"/>
                <w:color w:val="000000"/>
                <w:sz w:val="24"/>
                <w:szCs w:val="24"/>
              </w:rPr>
            </w:pPr>
          </w:p>
        </w:tc>
      </w:tr>
      <w:tr w:rsidR="005F0668" w:rsidRPr="00CB40C3" w:rsidTr="005F0668">
        <w:trPr>
          <w:trHeight w:val="300"/>
        </w:trPr>
        <w:tc>
          <w:tcPr>
            <w:tcW w:w="0" w:type="auto"/>
            <w:tcBorders>
              <w:top w:val="nil"/>
            </w:tcBorders>
            <w:shd w:val="clear" w:color="auto" w:fill="auto"/>
            <w:noWrap/>
          </w:tcPr>
          <w:p w:rsidR="005F0668" w:rsidRPr="00CB40C3" w:rsidRDefault="005F0668" w:rsidP="005F0668">
            <w:pPr>
              <w:spacing w:after="0" w:line="240" w:lineRule="auto"/>
              <w:rPr>
                <w:rFonts w:ascii="Calibri" w:eastAsia="Times New Roman" w:hAnsi="Calibri" w:cs="Times New Roman"/>
                <w:color w:val="000000"/>
                <w:sz w:val="24"/>
                <w:szCs w:val="24"/>
              </w:rPr>
            </w:pPr>
          </w:p>
        </w:tc>
        <w:tc>
          <w:tcPr>
            <w:tcW w:w="0" w:type="auto"/>
            <w:tcBorders>
              <w:top w:val="nil"/>
            </w:tcBorders>
            <w:shd w:val="clear" w:color="auto" w:fill="auto"/>
            <w:vAlign w:val="bottom"/>
          </w:tcPr>
          <w:p w:rsidR="005F0668" w:rsidRPr="00CB40C3" w:rsidRDefault="005F0668" w:rsidP="005F0668">
            <w:pPr>
              <w:spacing w:after="0" w:line="240" w:lineRule="auto"/>
              <w:rPr>
                <w:rFonts w:ascii="Calibri" w:eastAsia="Times New Roman" w:hAnsi="Calibri" w:cs="Times New Roman"/>
                <w:color w:val="000000"/>
                <w:sz w:val="24"/>
                <w:szCs w:val="24"/>
              </w:rPr>
            </w:pPr>
          </w:p>
        </w:tc>
      </w:tr>
      <w:tr w:rsidR="005F0668" w:rsidRPr="00CB40C3" w:rsidTr="005F0668">
        <w:trPr>
          <w:trHeight w:val="300"/>
        </w:trPr>
        <w:tc>
          <w:tcPr>
            <w:tcW w:w="0" w:type="auto"/>
            <w:tcBorders>
              <w:top w:val="nil"/>
            </w:tcBorders>
            <w:shd w:val="clear" w:color="auto" w:fill="auto"/>
            <w:noWrap/>
          </w:tcPr>
          <w:p w:rsidR="005F0668" w:rsidRPr="00CB40C3" w:rsidRDefault="005F0668" w:rsidP="005F0668">
            <w:pPr>
              <w:spacing w:after="0" w:line="240" w:lineRule="auto"/>
              <w:rPr>
                <w:rFonts w:ascii="Calibri" w:eastAsia="Times New Roman" w:hAnsi="Calibri" w:cs="Times New Roman"/>
                <w:color w:val="000000"/>
                <w:sz w:val="24"/>
                <w:szCs w:val="24"/>
              </w:rPr>
            </w:pPr>
          </w:p>
        </w:tc>
        <w:tc>
          <w:tcPr>
            <w:tcW w:w="0" w:type="auto"/>
            <w:tcBorders>
              <w:top w:val="nil"/>
            </w:tcBorders>
            <w:shd w:val="clear" w:color="auto" w:fill="auto"/>
            <w:vAlign w:val="bottom"/>
          </w:tcPr>
          <w:p w:rsidR="005F0668" w:rsidRPr="00CB40C3" w:rsidRDefault="005F0668" w:rsidP="005F0668">
            <w:pPr>
              <w:spacing w:after="0" w:line="240" w:lineRule="auto"/>
              <w:rPr>
                <w:rFonts w:ascii="Calibri" w:eastAsia="Times New Roman" w:hAnsi="Calibri" w:cs="Times New Roman"/>
                <w:color w:val="000000"/>
                <w:sz w:val="24"/>
                <w:szCs w:val="24"/>
              </w:rPr>
            </w:pPr>
          </w:p>
        </w:tc>
      </w:tr>
      <w:tr w:rsidR="005F0668" w:rsidRPr="00CB40C3" w:rsidTr="005F0668">
        <w:trPr>
          <w:trHeight w:val="300"/>
        </w:trPr>
        <w:tc>
          <w:tcPr>
            <w:tcW w:w="0" w:type="auto"/>
            <w:tcBorders>
              <w:top w:val="nil"/>
            </w:tcBorders>
            <w:shd w:val="clear" w:color="auto" w:fill="auto"/>
            <w:noWrap/>
          </w:tcPr>
          <w:p w:rsidR="005F0668" w:rsidRPr="00CB40C3" w:rsidRDefault="005F0668" w:rsidP="005F0668">
            <w:pPr>
              <w:spacing w:after="0" w:line="240" w:lineRule="auto"/>
              <w:rPr>
                <w:rFonts w:ascii="Calibri" w:eastAsia="Times New Roman" w:hAnsi="Calibri" w:cs="Times New Roman"/>
                <w:color w:val="000000"/>
                <w:sz w:val="24"/>
                <w:szCs w:val="24"/>
              </w:rPr>
            </w:pPr>
          </w:p>
        </w:tc>
        <w:tc>
          <w:tcPr>
            <w:tcW w:w="0" w:type="auto"/>
            <w:tcBorders>
              <w:top w:val="nil"/>
            </w:tcBorders>
            <w:shd w:val="clear" w:color="auto" w:fill="auto"/>
            <w:vAlign w:val="bottom"/>
          </w:tcPr>
          <w:p w:rsidR="005F0668" w:rsidRPr="00CB40C3" w:rsidRDefault="005F0668" w:rsidP="005F0668">
            <w:pPr>
              <w:spacing w:after="0" w:line="240" w:lineRule="auto"/>
              <w:rPr>
                <w:rFonts w:ascii="Calibri" w:eastAsia="Times New Roman" w:hAnsi="Calibri" w:cs="Times New Roman"/>
                <w:color w:val="000000"/>
                <w:sz w:val="24"/>
                <w:szCs w:val="24"/>
              </w:rPr>
            </w:pPr>
          </w:p>
        </w:tc>
      </w:tr>
      <w:tr w:rsidR="005F0668" w:rsidRPr="00CB40C3" w:rsidTr="005F0668">
        <w:trPr>
          <w:trHeight w:val="600"/>
        </w:trPr>
        <w:tc>
          <w:tcPr>
            <w:tcW w:w="0" w:type="auto"/>
            <w:tcBorders>
              <w:top w:val="nil"/>
            </w:tcBorders>
            <w:shd w:val="clear" w:color="auto" w:fill="auto"/>
            <w:noWrap/>
          </w:tcPr>
          <w:p w:rsidR="005F0668" w:rsidRPr="00CB40C3" w:rsidRDefault="005F0668" w:rsidP="005F0668">
            <w:pPr>
              <w:spacing w:after="0" w:line="240" w:lineRule="auto"/>
              <w:rPr>
                <w:rFonts w:ascii="Calibri" w:eastAsia="Times New Roman" w:hAnsi="Calibri" w:cs="Times New Roman"/>
                <w:color w:val="000000"/>
                <w:sz w:val="24"/>
                <w:szCs w:val="24"/>
              </w:rPr>
            </w:pPr>
          </w:p>
        </w:tc>
        <w:tc>
          <w:tcPr>
            <w:tcW w:w="0" w:type="auto"/>
            <w:tcBorders>
              <w:top w:val="nil"/>
            </w:tcBorders>
            <w:shd w:val="clear" w:color="auto" w:fill="auto"/>
            <w:vAlign w:val="bottom"/>
          </w:tcPr>
          <w:p w:rsidR="005F0668" w:rsidRPr="00CB40C3" w:rsidRDefault="005F0668" w:rsidP="005F0668">
            <w:pPr>
              <w:spacing w:after="0" w:line="240" w:lineRule="auto"/>
              <w:rPr>
                <w:rFonts w:ascii="Calibri" w:eastAsia="Times New Roman" w:hAnsi="Calibri" w:cs="Times New Roman"/>
                <w:color w:val="000000"/>
                <w:sz w:val="24"/>
                <w:szCs w:val="24"/>
              </w:rPr>
            </w:pPr>
          </w:p>
        </w:tc>
      </w:tr>
      <w:tr w:rsidR="005F0668" w:rsidRPr="00CB40C3" w:rsidTr="005F0668">
        <w:trPr>
          <w:trHeight w:val="600"/>
        </w:trPr>
        <w:tc>
          <w:tcPr>
            <w:tcW w:w="0" w:type="auto"/>
            <w:tcBorders>
              <w:top w:val="nil"/>
            </w:tcBorders>
            <w:shd w:val="clear" w:color="auto" w:fill="auto"/>
            <w:noWrap/>
          </w:tcPr>
          <w:p w:rsidR="005F0668" w:rsidRPr="00CB40C3" w:rsidRDefault="005F0668" w:rsidP="005F0668">
            <w:pPr>
              <w:spacing w:after="0" w:line="240" w:lineRule="auto"/>
              <w:rPr>
                <w:rFonts w:ascii="Calibri" w:eastAsia="Times New Roman" w:hAnsi="Calibri" w:cs="Times New Roman"/>
                <w:color w:val="000000"/>
                <w:sz w:val="24"/>
                <w:szCs w:val="24"/>
              </w:rPr>
            </w:pPr>
          </w:p>
        </w:tc>
        <w:tc>
          <w:tcPr>
            <w:tcW w:w="0" w:type="auto"/>
            <w:tcBorders>
              <w:top w:val="nil"/>
            </w:tcBorders>
            <w:shd w:val="clear" w:color="auto" w:fill="auto"/>
            <w:vAlign w:val="bottom"/>
          </w:tcPr>
          <w:p w:rsidR="005F0668" w:rsidRPr="00CB40C3" w:rsidRDefault="005F0668" w:rsidP="005F0668">
            <w:pPr>
              <w:spacing w:after="0" w:line="240" w:lineRule="auto"/>
              <w:rPr>
                <w:rFonts w:ascii="Calibri" w:eastAsia="Times New Roman" w:hAnsi="Calibri" w:cs="Times New Roman"/>
                <w:color w:val="000000"/>
                <w:sz w:val="24"/>
                <w:szCs w:val="24"/>
              </w:rPr>
            </w:pPr>
          </w:p>
        </w:tc>
      </w:tr>
    </w:tbl>
    <w:p w:rsidR="00CB40C3" w:rsidRDefault="00CB40C3" w:rsidP="00921A22"/>
    <w:p w:rsidR="00573675" w:rsidRDefault="00573675" w:rsidP="00921A22"/>
    <w:p w:rsidR="00573675" w:rsidRDefault="00573675" w:rsidP="00921A22"/>
    <w:p w:rsidR="00573675" w:rsidRDefault="00573675" w:rsidP="00921A22"/>
    <w:p w:rsidR="00573675" w:rsidRDefault="00573675" w:rsidP="00921A22"/>
    <w:p w:rsidR="00573675" w:rsidRDefault="00573675" w:rsidP="00921A22"/>
    <w:p w:rsidR="00573675" w:rsidRDefault="00573675" w:rsidP="00921A22"/>
    <w:p w:rsidR="00573675" w:rsidRDefault="00573675" w:rsidP="00921A22"/>
    <w:p w:rsidR="005F0668" w:rsidRDefault="005F0668" w:rsidP="00921A22"/>
    <w:p w:rsidR="005F0668" w:rsidRDefault="005F0668" w:rsidP="00921A22"/>
    <w:p w:rsidR="005F0668" w:rsidRDefault="005F0668" w:rsidP="00921A22"/>
    <w:p w:rsidR="00CB40C3" w:rsidRPr="00CB40C3" w:rsidRDefault="00CB40C3" w:rsidP="00573675">
      <w:pPr>
        <w:pStyle w:val="Heading1"/>
        <w:rPr>
          <w:b/>
          <w:i/>
          <w:sz w:val="36"/>
          <w:szCs w:val="36"/>
        </w:rPr>
      </w:pPr>
      <w:bookmarkStart w:id="4" w:name="_Toc449425173"/>
      <w:r>
        <w:rPr>
          <w:b/>
          <w:i/>
          <w:sz w:val="36"/>
          <w:szCs w:val="36"/>
        </w:rPr>
        <w:lastRenderedPageBreak/>
        <w:t>Cube Combination Examples</w:t>
      </w:r>
      <w:r w:rsidRPr="00CB40C3">
        <w:rPr>
          <w:b/>
          <w:i/>
          <w:sz w:val="36"/>
          <w:szCs w:val="36"/>
        </w:rPr>
        <w:t>:</w:t>
      </w:r>
      <w:bookmarkEnd w:id="4"/>
    </w:p>
    <w:p w:rsidR="00CA029A" w:rsidRPr="004910F9" w:rsidRDefault="004910F9" w:rsidP="004910F9">
      <w:pPr>
        <w:pStyle w:val="ListParagraph"/>
        <w:numPr>
          <w:ilvl w:val="0"/>
          <w:numId w:val="1"/>
        </w:numPr>
      </w:pPr>
      <w:r>
        <w:rPr>
          <w:b/>
        </w:rPr>
        <w:t xml:space="preserve">Identify QRP </w:t>
      </w:r>
      <w:r w:rsidR="00424423">
        <w:rPr>
          <w:b/>
        </w:rPr>
        <w:t>Retention</w:t>
      </w:r>
      <w:r>
        <w:rPr>
          <w:b/>
        </w:rPr>
        <w:t xml:space="preserve"> indicators for a program.</w:t>
      </w:r>
    </w:p>
    <w:p w:rsidR="004910F9" w:rsidRDefault="004910F9" w:rsidP="004910F9">
      <w:r>
        <w:t>Connect to the WTCS server through the Cisco VPN.  Open Excel and connect to the QRP – Indicator #</w:t>
      </w:r>
      <w:r w:rsidR="00424423">
        <w:t>2</w:t>
      </w:r>
      <w:r>
        <w:t xml:space="preserve"> </w:t>
      </w:r>
      <w:r w:rsidR="00424423">
        <w:t>Reten</w:t>
      </w:r>
      <w:r w:rsidR="005F0668">
        <w:t>tion</w:t>
      </w:r>
      <w:r>
        <w:t xml:space="preserve"> Cube.  </w:t>
      </w:r>
      <w:r w:rsidR="003363FA">
        <w:t>Reference the OLAP Cube Connection Requirements and Instructions for District Users document for full instructions on connecting to the Cubes.  Once connected, r</w:t>
      </w:r>
      <w:r>
        <w:t>eplicate the below</w:t>
      </w:r>
      <w:r w:rsidR="003363FA">
        <w:t xml:space="preserve"> Cube</w:t>
      </w:r>
      <w:r>
        <w:t xml:space="preserve"> combination.  The resulting combination will provide you with </w:t>
      </w:r>
      <w:r w:rsidR="00424423">
        <w:t>retention</w:t>
      </w:r>
      <w:r w:rsidR="005F0668">
        <w:t xml:space="preserve"> rates for a specific program</w:t>
      </w:r>
      <w:r>
        <w:t xml:space="preserve">.  The </w:t>
      </w:r>
      <w:r w:rsidRPr="004910F9">
        <w:rPr>
          <w:b/>
        </w:rPr>
        <w:t>Grand Total</w:t>
      </w:r>
      <w:r>
        <w:t xml:space="preserve"> </w:t>
      </w:r>
      <w:r w:rsidRPr="003363FA">
        <w:rPr>
          <w:u w:val="single"/>
        </w:rPr>
        <w:t>row</w:t>
      </w:r>
      <w:r>
        <w:t xml:space="preserve"> will identify overall </w:t>
      </w:r>
      <w:r w:rsidR="00424423">
        <w:t>retention</w:t>
      </w:r>
      <w:r w:rsidR="0088710C">
        <w:t xml:space="preserve"> rates and student cohort counts for all years assessed.</w:t>
      </w:r>
      <w:r>
        <w:t xml:space="preserve">  </w:t>
      </w:r>
    </w:p>
    <w:p w:rsidR="004910F9" w:rsidRPr="004910F9" w:rsidRDefault="00424423" w:rsidP="004910F9">
      <w:r>
        <w:rPr>
          <w:noProof/>
        </w:rPr>
        <w:drawing>
          <wp:inline distT="0" distB="0" distL="0" distR="0" wp14:anchorId="71DF30A9" wp14:editId="4A54AB34">
            <wp:extent cx="5943600" cy="2110740"/>
            <wp:effectExtent l="19050" t="19050" r="19050" b="228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110740"/>
                    </a:xfrm>
                    <a:prstGeom prst="rect">
                      <a:avLst/>
                    </a:prstGeom>
                    <a:ln>
                      <a:solidFill>
                        <a:schemeClr val="tx1"/>
                      </a:solidFill>
                    </a:ln>
                  </pic:spPr>
                </pic:pic>
              </a:graphicData>
            </a:graphic>
          </wp:inline>
        </w:drawing>
      </w:r>
    </w:p>
    <w:p w:rsidR="003363FA" w:rsidRPr="003363FA" w:rsidRDefault="003363FA" w:rsidP="003363FA">
      <w:pPr>
        <w:pStyle w:val="ListParagraph"/>
        <w:numPr>
          <w:ilvl w:val="0"/>
          <w:numId w:val="1"/>
        </w:numPr>
      </w:pPr>
      <w:r>
        <w:rPr>
          <w:b/>
        </w:rPr>
        <w:t xml:space="preserve">Identify QRP </w:t>
      </w:r>
      <w:r w:rsidR="00424423">
        <w:rPr>
          <w:b/>
        </w:rPr>
        <w:t>Retention</w:t>
      </w:r>
      <w:r>
        <w:rPr>
          <w:b/>
        </w:rPr>
        <w:t xml:space="preserve"> indicators for a program for your district and other districts.</w:t>
      </w:r>
    </w:p>
    <w:p w:rsidR="003363FA" w:rsidRDefault="003363FA" w:rsidP="003363FA">
      <w:r>
        <w:t>Connect to the WTCS server through the Cisco VPN.  Open Excel and c</w:t>
      </w:r>
      <w:r w:rsidR="00AB5A48">
        <w:t>onnect to the QRP – Indicator #</w:t>
      </w:r>
      <w:r w:rsidR="00424423">
        <w:t>2</w:t>
      </w:r>
      <w:r>
        <w:t xml:space="preserve"> </w:t>
      </w:r>
      <w:r w:rsidR="00424423">
        <w:t>Reten</w:t>
      </w:r>
      <w:r w:rsidR="00AB5A48">
        <w:t>tion</w:t>
      </w:r>
      <w:r>
        <w:t xml:space="preserve"> Cube.  Reference the OLAP Cube Connection Requirements and Instructions for District Users document for full instructions on connecting to the Cubes.  Once connected, replicate the below Cube combination.  </w:t>
      </w:r>
      <w:r w:rsidR="00AB5A48">
        <w:t xml:space="preserve">The resulting combination will provide you with </w:t>
      </w:r>
      <w:r w:rsidR="00424423">
        <w:t>retention</w:t>
      </w:r>
      <w:r w:rsidR="00AB5A48">
        <w:t xml:space="preserve"> rates for a specific program</w:t>
      </w:r>
      <w:r w:rsidR="00684B72">
        <w:t xml:space="preserve"> by district</w:t>
      </w:r>
      <w:r>
        <w:t>.</w:t>
      </w:r>
      <w:r w:rsidR="00684B72">
        <w:t xml:space="preserve">  This combination can be used for benchmarking purposes.</w:t>
      </w:r>
      <w:r>
        <w:t xml:space="preserve">  The </w:t>
      </w:r>
      <w:r w:rsidR="00684B72">
        <w:rPr>
          <w:b/>
        </w:rPr>
        <w:t>individual district</w:t>
      </w:r>
      <w:r>
        <w:t xml:space="preserve"> </w:t>
      </w:r>
      <w:r w:rsidRPr="003363FA">
        <w:rPr>
          <w:u w:val="single"/>
        </w:rPr>
        <w:t>row</w:t>
      </w:r>
      <w:r>
        <w:t xml:space="preserve"> will identify </w:t>
      </w:r>
      <w:r w:rsidR="00424423">
        <w:t>reten</w:t>
      </w:r>
      <w:r w:rsidR="00AB5A48">
        <w:t>tion rates</w:t>
      </w:r>
      <w:r w:rsidR="00684B72">
        <w:t xml:space="preserve"> for the district</w:t>
      </w:r>
      <w:r>
        <w:t xml:space="preserve">.  The </w:t>
      </w:r>
      <w:r>
        <w:rPr>
          <w:b/>
        </w:rPr>
        <w:t>Grand Total</w:t>
      </w:r>
      <w:r>
        <w:t xml:space="preserve"> </w:t>
      </w:r>
      <w:r w:rsidRPr="003363FA">
        <w:rPr>
          <w:u w:val="single"/>
        </w:rPr>
        <w:t>column</w:t>
      </w:r>
      <w:r>
        <w:t xml:space="preserve"> will identify </w:t>
      </w:r>
      <w:r w:rsidR="00465FC0">
        <w:t>retention</w:t>
      </w:r>
      <w:r w:rsidR="0088710C">
        <w:t xml:space="preserve"> rates </w:t>
      </w:r>
      <w:r>
        <w:t>for all of the years included in the analysis</w:t>
      </w:r>
      <w:r w:rsidR="00684B72">
        <w:t xml:space="preserve"> for each row</w:t>
      </w:r>
      <w:r>
        <w:t>.</w:t>
      </w:r>
      <w:r w:rsidR="0088710C">
        <w:t xml:space="preserve"> The </w:t>
      </w:r>
      <w:r w:rsidR="0088710C" w:rsidRPr="004910F9">
        <w:rPr>
          <w:b/>
        </w:rPr>
        <w:t>Grand Total</w:t>
      </w:r>
      <w:r w:rsidR="0088710C">
        <w:t xml:space="preserve"> </w:t>
      </w:r>
      <w:r w:rsidR="0088710C" w:rsidRPr="003363FA">
        <w:rPr>
          <w:u w:val="single"/>
        </w:rPr>
        <w:t>row</w:t>
      </w:r>
      <w:r w:rsidR="0088710C">
        <w:t xml:space="preserve"> will identify overall </w:t>
      </w:r>
      <w:r w:rsidR="00424423">
        <w:t>reten</w:t>
      </w:r>
      <w:r w:rsidR="0088710C">
        <w:t xml:space="preserve">tion rates for all districts assessed by year.  </w:t>
      </w:r>
    </w:p>
    <w:p w:rsidR="00684B72" w:rsidRPr="004910F9" w:rsidRDefault="00424423" w:rsidP="003363FA">
      <w:r>
        <w:rPr>
          <w:noProof/>
        </w:rPr>
        <w:drawing>
          <wp:inline distT="0" distB="0" distL="0" distR="0" wp14:anchorId="0EF38893" wp14:editId="139F6EC6">
            <wp:extent cx="5943600" cy="1971675"/>
            <wp:effectExtent l="19050" t="19050" r="19050" b="285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1971675"/>
                    </a:xfrm>
                    <a:prstGeom prst="rect">
                      <a:avLst/>
                    </a:prstGeom>
                    <a:ln>
                      <a:solidFill>
                        <a:schemeClr val="tx1"/>
                      </a:solidFill>
                    </a:ln>
                  </pic:spPr>
                </pic:pic>
              </a:graphicData>
            </a:graphic>
          </wp:inline>
        </w:drawing>
      </w:r>
    </w:p>
    <w:p w:rsidR="009A3EE2" w:rsidRDefault="009A3EE2" w:rsidP="00684B72"/>
    <w:p w:rsidR="009A3EE2" w:rsidRPr="003363FA" w:rsidRDefault="009A3EE2" w:rsidP="00684B72"/>
    <w:p w:rsidR="00EE4B33" w:rsidRPr="00684B72" w:rsidRDefault="00EE4B33" w:rsidP="00EE4B33">
      <w:pPr>
        <w:pStyle w:val="ListParagraph"/>
        <w:numPr>
          <w:ilvl w:val="0"/>
          <w:numId w:val="1"/>
        </w:numPr>
      </w:pPr>
      <w:r>
        <w:rPr>
          <w:b/>
        </w:rPr>
        <w:t xml:space="preserve">Identify </w:t>
      </w:r>
      <w:r w:rsidR="00424423">
        <w:rPr>
          <w:b/>
        </w:rPr>
        <w:t>retention</w:t>
      </w:r>
      <w:r w:rsidR="00AB5A48">
        <w:rPr>
          <w:b/>
        </w:rPr>
        <w:t xml:space="preserve"> rates by demographic group</w:t>
      </w:r>
      <w:r w:rsidR="00E915D4">
        <w:rPr>
          <w:b/>
        </w:rPr>
        <w:t>s</w:t>
      </w:r>
      <w:r>
        <w:rPr>
          <w:b/>
        </w:rPr>
        <w:t xml:space="preserve"> for a program.</w:t>
      </w:r>
    </w:p>
    <w:p w:rsidR="0088710C" w:rsidRDefault="00EE4B33" w:rsidP="0088710C">
      <w:r>
        <w:t>Connect to the WTCS server through the Cisco VPN.  Open Excel and connect to the QRP – Indicator #</w:t>
      </w:r>
      <w:r w:rsidR="00424423">
        <w:t>2</w:t>
      </w:r>
      <w:r>
        <w:t xml:space="preserve"> </w:t>
      </w:r>
      <w:r w:rsidR="00424423">
        <w:t>Retent</w:t>
      </w:r>
      <w:r w:rsidR="00E915D4">
        <w:t>ion</w:t>
      </w:r>
      <w:r>
        <w:t xml:space="preserve"> Cube.  Reference the OLAP Cube Connection Requirements and Instructions for District Users document for full instructions on connecting to the Cubes.  Once connected, replicate the below Cube combination.  </w:t>
      </w:r>
      <w:r w:rsidR="00E915D4">
        <w:t xml:space="preserve">The resulting combination will provide you with </w:t>
      </w:r>
      <w:r w:rsidR="000067B8">
        <w:t>retention</w:t>
      </w:r>
      <w:r w:rsidR="00E915D4">
        <w:t xml:space="preserve"> rates for a specific program</w:t>
      </w:r>
      <w:r>
        <w:t xml:space="preserve"> broken out </w:t>
      </w:r>
      <w:r w:rsidR="00E915D4">
        <w:t xml:space="preserve">by </w:t>
      </w:r>
      <w:r>
        <w:t xml:space="preserve">student demographics.  The </w:t>
      </w:r>
      <w:r w:rsidRPr="00684B72">
        <w:rPr>
          <w:b/>
        </w:rPr>
        <w:t>Grand Total</w:t>
      </w:r>
      <w:r>
        <w:t xml:space="preserve"> </w:t>
      </w:r>
      <w:r w:rsidRPr="00684B72">
        <w:rPr>
          <w:u w:val="single"/>
        </w:rPr>
        <w:t>column</w:t>
      </w:r>
      <w:r>
        <w:t xml:space="preserve"> will identify </w:t>
      </w:r>
      <w:r w:rsidR="000067B8">
        <w:t>retention</w:t>
      </w:r>
      <w:r w:rsidR="0088710C">
        <w:t xml:space="preserve"> rates</w:t>
      </w:r>
      <w:r>
        <w:t xml:space="preserve"> for all of the years included in the analysis for each row.</w:t>
      </w:r>
      <w:r w:rsidR="0088710C">
        <w:t xml:space="preserve"> The </w:t>
      </w:r>
      <w:r w:rsidR="0088710C" w:rsidRPr="004910F9">
        <w:rPr>
          <w:b/>
        </w:rPr>
        <w:t>Grand Total</w:t>
      </w:r>
      <w:r w:rsidR="0088710C">
        <w:t xml:space="preserve"> </w:t>
      </w:r>
      <w:r w:rsidR="0088710C" w:rsidRPr="003363FA">
        <w:rPr>
          <w:u w:val="single"/>
        </w:rPr>
        <w:t>row</w:t>
      </w:r>
      <w:r w:rsidR="0088710C">
        <w:t xml:space="preserve"> will identify overall </w:t>
      </w:r>
      <w:r w:rsidR="00465FC0">
        <w:t>retention</w:t>
      </w:r>
      <w:r w:rsidR="0088710C">
        <w:t xml:space="preserve"> rates for all demographic variables assessed by year.  </w:t>
      </w:r>
    </w:p>
    <w:p w:rsidR="00EE4B33" w:rsidRDefault="000067B8" w:rsidP="00EE4B33">
      <w:r>
        <w:rPr>
          <w:noProof/>
        </w:rPr>
        <w:drawing>
          <wp:inline distT="0" distB="0" distL="0" distR="0" wp14:anchorId="65C808F3" wp14:editId="5728DD4B">
            <wp:extent cx="5943600" cy="2124710"/>
            <wp:effectExtent l="19050" t="19050" r="19050" b="279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2124710"/>
                    </a:xfrm>
                    <a:prstGeom prst="rect">
                      <a:avLst/>
                    </a:prstGeom>
                    <a:ln>
                      <a:solidFill>
                        <a:schemeClr val="tx1"/>
                      </a:solidFill>
                    </a:ln>
                  </pic:spPr>
                </pic:pic>
              </a:graphicData>
            </a:graphic>
          </wp:inline>
        </w:drawing>
      </w:r>
    </w:p>
    <w:p w:rsidR="00E915D4" w:rsidRPr="00684B72" w:rsidRDefault="00E915D4" w:rsidP="00E915D4">
      <w:pPr>
        <w:pStyle w:val="ListParagraph"/>
        <w:numPr>
          <w:ilvl w:val="0"/>
          <w:numId w:val="1"/>
        </w:numPr>
      </w:pPr>
      <w:r>
        <w:rPr>
          <w:b/>
        </w:rPr>
        <w:t xml:space="preserve">Track </w:t>
      </w:r>
      <w:r w:rsidR="00465FC0">
        <w:rPr>
          <w:b/>
        </w:rPr>
        <w:t>retention</w:t>
      </w:r>
      <w:r>
        <w:rPr>
          <w:b/>
        </w:rPr>
        <w:t xml:space="preserve"> rates </w:t>
      </w:r>
      <w:r w:rsidR="00465FC0">
        <w:rPr>
          <w:b/>
        </w:rPr>
        <w:t>for multiple years</w:t>
      </w:r>
      <w:r>
        <w:rPr>
          <w:b/>
        </w:rPr>
        <w:t xml:space="preserve"> out for the same cohort by program.</w:t>
      </w:r>
    </w:p>
    <w:p w:rsidR="00E915D4" w:rsidRDefault="00E915D4" w:rsidP="00E915D4">
      <w:r>
        <w:t>Connect to the WTCS server through the Cisco VPN.  Open Excel and connect to the QRP – Indicator #</w:t>
      </w:r>
      <w:r w:rsidR="00465FC0">
        <w:t>2</w:t>
      </w:r>
      <w:r>
        <w:t xml:space="preserve"> </w:t>
      </w:r>
      <w:r w:rsidR="00465FC0">
        <w:t>Reten</w:t>
      </w:r>
      <w:r>
        <w:t>tion Cube.  Reference the OLAP Cube Connection Requirements and Instructions for District Users document for full instructions on connecting to the Cubes.  Once connected, replicate the below Cube combination.  The resulting combination will demonstrate how you can track the same cohort</w:t>
      </w:r>
      <w:r w:rsidR="00465FC0">
        <w:t xml:space="preserve"> for multiple years</w:t>
      </w:r>
      <w:r>
        <w:t xml:space="preserve">; note the cohort counts are the same based on the metric and report year combination.  </w:t>
      </w:r>
    </w:p>
    <w:p w:rsidR="00E915D4" w:rsidRDefault="00445A70" w:rsidP="00EE4B33">
      <w:r>
        <w:rPr>
          <w:noProof/>
        </w:rPr>
        <w:drawing>
          <wp:inline distT="0" distB="0" distL="0" distR="0" wp14:anchorId="07D9CD5D" wp14:editId="4A984D6D">
            <wp:extent cx="5943600" cy="1769110"/>
            <wp:effectExtent l="19050" t="19050" r="19050" b="215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1769110"/>
                    </a:xfrm>
                    <a:prstGeom prst="rect">
                      <a:avLst/>
                    </a:prstGeom>
                    <a:ln>
                      <a:solidFill>
                        <a:schemeClr val="tx1"/>
                      </a:solidFill>
                    </a:ln>
                  </pic:spPr>
                </pic:pic>
              </a:graphicData>
            </a:graphic>
          </wp:inline>
        </w:drawing>
      </w:r>
    </w:p>
    <w:p w:rsidR="00E915D4" w:rsidRDefault="00E915D4" w:rsidP="00EE4B33"/>
    <w:p w:rsidR="00AB5A48" w:rsidRDefault="00AB5A48" w:rsidP="00EE4B33"/>
    <w:p w:rsidR="00F00B8C" w:rsidRDefault="00F00B8C" w:rsidP="00F00B8C">
      <w:pPr>
        <w:pStyle w:val="Heading1"/>
        <w:rPr>
          <w:b/>
          <w:i/>
          <w:sz w:val="36"/>
          <w:szCs w:val="36"/>
        </w:rPr>
      </w:pPr>
      <w:bookmarkStart w:id="5" w:name="_Toc449425174"/>
      <w:r>
        <w:rPr>
          <w:b/>
          <w:i/>
          <w:sz w:val="36"/>
          <w:szCs w:val="36"/>
        </w:rPr>
        <w:lastRenderedPageBreak/>
        <w:t>Drill-Through Capabilities</w:t>
      </w:r>
      <w:r w:rsidRPr="00CB40C3">
        <w:rPr>
          <w:b/>
          <w:i/>
          <w:sz w:val="36"/>
          <w:szCs w:val="36"/>
        </w:rPr>
        <w:t>:</w:t>
      </w:r>
      <w:bookmarkEnd w:id="5"/>
    </w:p>
    <w:p w:rsidR="001570BA" w:rsidRDefault="001570BA">
      <w:r>
        <w:t>Excel 2013 or more recent versions</w:t>
      </w:r>
      <w:r w:rsidR="00F00B8C">
        <w:t xml:space="preserve"> allow end-users to drill-</w:t>
      </w:r>
      <w:r>
        <w:t>through</w:t>
      </w:r>
      <w:r w:rsidR="00F00B8C">
        <w:t xml:space="preserve"> QRP Indicator measures within the Cubes.</w:t>
      </w:r>
      <w:r>
        <w:t xml:space="preserve">  Follow these steps to drill-through:</w:t>
      </w:r>
    </w:p>
    <w:p w:rsidR="00F00B8C" w:rsidRDefault="001570BA" w:rsidP="001570BA">
      <w:pPr>
        <w:pStyle w:val="ListParagraph"/>
        <w:numPr>
          <w:ilvl w:val="0"/>
          <w:numId w:val="4"/>
        </w:numPr>
      </w:pPr>
      <w:r>
        <w:t>Select the measure cell you want to drill-through.</w:t>
      </w:r>
    </w:p>
    <w:p w:rsidR="001570BA" w:rsidRDefault="001570BA" w:rsidP="001570BA">
      <w:pPr>
        <w:ind w:firstLine="360"/>
      </w:pPr>
      <w:r>
        <w:rPr>
          <w:noProof/>
        </w:rPr>
        <w:drawing>
          <wp:inline distT="0" distB="0" distL="0" distR="0" wp14:anchorId="2D5E5092" wp14:editId="1645BF7E">
            <wp:extent cx="5327650" cy="1923304"/>
            <wp:effectExtent l="19050" t="19050" r="25400" b="203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336445" cy="1926479"/>
                    </a:xfrm>
                    <a:prstGeom prst="rect">
                      <a:avLst/>
                    </a:prstGeom>
                    <a:ln>
                      <a:solidFill>
                        <a:schemeClr val="tx1"/>
                      </a:solidFill>
                    </a:ln>
                  </pic:spPr>
                </pic:pic>
              </a:graphicData>
            </a:graphic>
          </wp:inline>
        </w:drawing>
      </w:r>
    </w:p>
    <w:p w:rsidR="001570BA" w:rsidRDefault="001570BA" w:rsidP="001570BA">
      <w:pPr>
        <w:pStyle w:val="ListParagraph"/>
        <w:numPr>
          <w:ilvl w:val="0"/>
          <w:numId w:val="4"/>
        </w:numPr>
      </w:pPr>
      <w:r>
        <w:t>Right-click in the field and select “Quick Explore”.</w:t>
      </w:r>
    </w:p>
    <w:p w:rsidR="001570BA" w:rsidRDefault="001570BA" w:rsidP="001570BA">
      <w:pPr>
        <w:ind w:firstLine="360"/>
      </w:pPr>
      <w:r>
        <w:rPr>
          <w:noProof/>
        </w:rPr>
        <w:drawing>
          <wp:inline distT="0" distB="0" distL="0" distR="0" wp14:anchorId="41C41E51" wp14:editId="1BCBEBF6">
            <wp:extent cx="1587500" cy="1722387"/>
            <wp:effectExtent l="19050" t="19050" r="12700"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609159" cy="1745887"/>
                    </a:xfrm>
                    <a:prstGeom prst="rect">
                      <a:avLst/>
                    </a:prstGeom>
                    <a:ln>
                      <a:solidFill>
                        <a:schemeClr val="tx1"/>
                      </a:solidFill>
                    </a:ln>
                  </pic:spPr>
                </pic:pic>
              </a:graphicData>
            </a:graphic>
          </wp:inline>
        </w:drawing>
      </w:r>
    </w:p>
    <w:p w:rsidR="001570BA" w:rsidRDefault="001570BA" w:rsidP="001570BA">
      <w:pPr>
        <w:pStyle w:val="ListParagraph"/>
        <w:numPr>
          <w:ilvl w:val="0"/>
          <w:numId w:val="4"/>
        </w:numPr>
      </w:pPr>
      <w:r>
        <w:t>An “Explore” menu will populate – select a field within the available dimensions that you would like to drill-through to get more details and double-click.  In this example, “Academically Disadvantaged” is selected.  The resulting output shows the measure for the field selected in step one, and is broken out by the field selected in step three</w:t>
      </w:r>
    </w:p>
    <w:p w:rsidR="001570BA" w:rsidRDefault="001570BA" w:rsidP="001570BA">
      <w:pPr>
        <w:ind w:left="360"/>
      </w:pPr>
      <w:r>
        <w:rPr>
          <w:noProof/>
        </w:rPr>
        <w:drawing>
          <wp:inline distT="0" distB="0" distL="0" distR="0" wp14:anchorId="5AC22E70" wp14:editId="2495180E">
            <wp:extent cx="2654300" cy="1821845"/>
            <wp:effectExtent l="19050" t="19050" r="12700" b="260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673203" cy="1834819"/>
                    </a:xfrm>
                    <a:prstGeom prst="rect">
                      <a:avLst/>
                    </a:prstGeom>
                    <a:ln>
                      <a:solidFill>
                        <a:schemeClr val="tx1"/>
                      </a:solidFill>
                    </a:ln>
                  </pic:spPr>
                </pic:pic>
              </a:graphicData>
            </a:graphic>
          </wp:inline>
        </w:drawing>
      </w:r>
    </w:p>
    <w:p w:rsidR="004E7225" w:rsidRDefault="00571263" w:rsidP="00573675">
      <w:pPr>
        <w:pStyle w:val="Heading1"/>
        <w:rPr>
          <w:b/>
          <w:i/>
          <w:sz w:val="36"/>
          <w:szCs w:val="36"/>
        </w:rPr>
      </w:pPr>
      <w:r w:rsidRPr="00571263">
        <w:rPr>
          <w:noProof/>
        </w:rPr>
        <w:lastRenderedPageBreak/>
        <w:t xml:space="preserve"> </w:t>
      </w:r>
      <w:bookmarkStart w:id="6" w:name="_Toc449425175"/>
      <w:r w:rsidR="004E7225">
        <w:rPr>
          <w:b/>
          <w:i/>
          <w:sz w:val="36"/>
          <w:szCs w:val="36"/>
        </w:rPr>
        <w:t>Commonly Asked Questions</w:t>
      </w:r>
      <w:r w:rsidR="004E7225" w:rsidRPr="00CB40C3">
        <w:rPr>
          <w:b/>
          <w:i/>
          <w:sz w:val="36"/>
          <w:szCs w:val="36"/>
        </w:rPr>
        <w:t>:</w:t>
      </w:r>
      <w:bookmarkEnd w:id="6"/>
    </w:p>
    <w:p w:rsidR="00B5272C" w:rsidRPr="00B5272C" w:rsidRDefault="00B5272C" w:rsidP="004E7225">
      <w:pPr>
        <w:pStyle w:val="ListParagraph"/>
        <w:numPr>
          <w:ilvl w:val="0"/>
          <w:numId w:val="3"/>
        </w:numPr>
        <w:rPr>
          <w:b/>
          <w:i/>
          <w:sz w:val="36"/>
          <w:szCs w:val="36"/>
        </w:rPr>
      </w:pPr>
      <w:r>
        <w:rPr>
          <w:b/>
        </w:rPr>
        <w:t xml:space="preserve">Where does the data come from </w:t>
      </w:r>
      <w:r w:rsidR="0088710C">
        <w:rPr>
          <w:b/>
        </w:rPr>
        <w:t>within the Cubes</w:t>
      </w:r>
      <w:r>
        <w:rPr>
          <w:b/>
        </w:rPr>
        <w:t>?</w:t>
      </w:r>
    </w:p>
    <w:p w:rsidR="00B5272C" w:rsidRPr="00B5272C" w:rsidRDefault="00B5272C" w:rsidP="00B5272C">
      <w:pPr>
        <w:rPr>
          <w:i/>
          <w:sz w:val="36"/>
          <w:szCs w:val="36"/>
        </w:rPr>
      </w:pPr>
      <w:r>
        <w:t xml:space="preserve">Data within the Cubes is sourced to the data the districts supply in Client </w:t>
      </w:r>
      <w:r w:rsidR="0088710C">
        <w:t xml:space="preserve">Reporting </w:t>
      </w:r>
      <w:r>
        <w:t>submissions.</w:t>
      </w:r>
    </w:p>
    <w:p w:rsidR="004E7225" w:rsidRPr="004E7225" w:rsidRDefault="00E915D4" w:rsidP="004E7225">
      <w:pPr>
        <w:pStyle w:val="ListParagraph"/>
        <w:numPr>
          <w:ilvl w:val="0"/>
          <w:numId w:val="3"/>
        </w:numPr>
        <w:rPr>
          <w:b/>
          <w:i/>
          <w:sz w:val="36"/>
          <w:szCs w:val="36"/>
        </w:rPr>
      </w:pPr>
      <w:r>
        <w:rPr>
          <w:b/>
        </w:rPr>
        <w:t>Can I track a cohort</w:t>
      </w:r>
      <w:r w:rsidR="0088710C">
        <w:rPr>
          <w:b/>
        </w:rPr>
        <w:t xml:space="preserve"> of students</w:t>
      </w:r>
      <w:r>
        <w:rPr>
          <w:b/>
        </w:rPr>
        <w:t xml:space="preserve"> </w:t>
      </w:r>
      <w:r w:rsidR="0088710C">
        <w:rPr>
          <w:b/>
        </w:rPr>
        <w:t xml:space="preserve">longitudinally to identify in what year </w:t>
      </w:r>
      <w:r w:rsidR="00465FC0">
        <w:rPr>
          <w:b/>
        </w:rPr>
        <w:t>retention</w:t>
      </w:r>
      <w:r w:rsidR="0088710C">
        <w:rPr>
          <w:b/>
        </w:rPr>
        <w:t xml:space="preserve"> rates plateau</w:t>
      </w:r>
      <w:r w:rsidR="004E7225">
        <w:rPr>
          <w:b/>
        </w:rPr>
        <w:t>?</w:t>
      </w:r>
    </w:p>
    <w:p w:rsidR="004E7225" w:rsidRPr="004E7225" w:rsidRDefault="00E915D4" w:rsidP="004E7225">
      <w:pPr>
        <w:rPr>
          <w:i/>
          <w:sz w:val="36"/>
          <w:szCs w:val="36"/>
        </w:rPr>
      </w:pPr>
      <w:r>
        <w:t>Yes, the</w:t>
      </w:r>
      <w:r w:rsidR="00465FC0">
        <w:t xml:space="preserve"> cubes allow you to track retention rates from 2</w:t>
      </w:r>
      <w:r w:rsidR="00465FC0" w:rsidRPr="00465FC0">
        <w:rPr>
          <w:vertAlign w:val="superscript"/>
        </w:rPr>
        <w:t>nd</w:t>
      </w:r>
      <w:r w:rsidR="00465FC0">
        <w:t xml:space="preserve"> year to 6</w:t>
      </w:r>
      <w:r w:rsidR="00465FC0" w:rsidRPr="00465FC0">
        <w:rPr>
          <w:vertAlign w:val="superscript"/>
        </w:rPr>
        <w:t>th</w:t>
      </w:r>
      <w:r w:rsidR="00465FC0">
        <w:t xml:space="preserve"> </w:t>
      </w:r>
      <w:r>
        <w:t xml:space="preserve">year </w:t>
      </w:r>
      <w:r w:rsidR="00465FC0">
        <w:t>retention</w:t>
      </w:r>
      <w:r w:rsidR="00B5272C">
        <w:t>.</w:t>
      </w:r>
      <w:r>
        <w:t xml:space="preserve">  Cube combination example four demonstrates this capability.</w:t>
      </w:r>
    </w:p>
    <w:p w:rsidR="00CB40C3" w:rsidRDefault="00CB40C3"/>
    <w:p w:rsidR="00571263" w:rsidRDefault="00571263"/>
    <w:sectPr w:rsidR="00571263">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675" w:rsidRDefault="00573675" w:rsidP="00573675">
      <w:pPr>
        <w:spacing w:after="0" w:line="240" w:lineRule="auto"/>
      </w:pPr>
      <w:r>
        <w:separator/>
      </w:r>
    </w:p>
  </w:endnote>
  <w:endnote w:type="continuationSeparator" w:id="0">
    <w:p w:rsidR="00573675" w:rsidRDefault="00573675" w:rsidP="00573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152997"/>
      <w:docPartObj>
        <w:docPartGallery w:val="Page Numbers (Bottom of Page)"/>
        <w:docPartUnique/>
      </w:docPartObj>
    </w:sdtPr>
    <w:sdtEndPr>
      <w:rPr>
        <w:color w:val="7F7F7F" w:themeColor="background1" w:themeShade="7F"/>
        <w:spacing w:val="60"/>
      </w:rPr>
    </w:sdtEndPr>
    <w:sdtContent>
      <w:p w:rsidR="00573675" w:rsidRDefault="00573675">
        <w:pPr>
          <w:pStyle w:val="Footer"/>
          <w:pBdr>
            <w:top w:val="single" w:sz="4" w:space="1" w:color="D9D9D9" w:themeColor="background1" w:themeShade="D9"/>
          </w:pBdr>
          <w:jc w:val="right"/>
        </w:pPr>
        <w:r>
          <w:fldChar w:fldCharType="begin"/>
        </w:r>
        <w:r>
          <w:instrText xml:space="preserve"> PAGE   \* MERGEFORMAT </w:instrText>
        </w:r>
        <w:r>
          <w:fldChar w:fldCharType="separate"/>
        </w:r>
        <w:r w:rsidR="007B1DBD">
          <w:rPr>
            <w:noProof/>
          </w:rPr>
          <w:t>11</w:t>
        </w:r>
        <w:r>
          <w:rPr>
            <w:noProof/>
          </w:rPr>
          <w:fldChar w:fldCharType="end"/>
        </w:r>
        <w:r>
          <w:t xml:space="preserve"> | </w:t>
        </w:r>
        <w:r>
          <w:rPr>
            <w:color w:val="7F7F7F" w:themeColor="background1" w:themeShade="7F"/>
            <w:spacing w:val="60"/>
          </w:rPr>
          <w:t>Page</w:t>
        </w:r>
      </w:p>
    </w:sdtContent>
  </w:sdt>
  <w:p w:rsidR="00573675" w:rsidRDefault="005736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675" w:rsidRDefault="00573675" w:rsidP="00573675">
      <w:pPr>
        <w:spacing w:after="0" w:line="240" w:lineRule="auto"/>
      </w:pPr>
      <w:r>
        <w:separator/>
      </w:r>
    </w:p>
  </w:footnote>
  <w:footnote w:type="continuationSeparator" w:id="0">
    <w:p w:rsidR="00573675" w:rsidRDefault="00573675" w:rsidP="005736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16C0A"/>
    <w:multiLevelType w:val="hybridMultilevel"/>
    <w:tmpl w:val="0526D0C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09AF3067"/>
    <w:multiLevelType w:val="hybridMultilevel"/>
    <w:tmpl w:val="A3DE26B8"/>
    <w:lvl w:ilvl="0" w:tplc="57803924">
      <w:start w:val="1"/>
      <w:numFmt w:val="decimal"/>
      <w:lvlText w:val="%1."/>
      <w:lvlJc w:val="left"/>
      <w:pPr>
        <w:ind w:left="72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EC6B70"/>
    <w:multiLevelType w:val="hybridMultilevel"/>
    <w:tmpl w:val="7DE89690"/>
    <w:lvl w:ilvl="0" w:tplc="C53C170C">
      <w:start w:val="1"/>
      <w:numFmt w:val="decimal"/>
      <w:lvlText w:val="%1."/>
      <w:lvlJc w:val="left"/>
      <w:pPr>
        <w:ind w:left="360" w:hanging="360"/>
      </w:pPr>
      <w:rPr>
        <w:rFonts w:hint="default"/>
        <w:b w:val="0"/>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62B2C0D"/>
    <w:multiLevelType w:val="hybridMultilevel"/>
    <w:tmpl w:val="55482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F14527"/>
    <w:multiLevelType w:val="hybridMultilevel"/>
    <w:tmpl w:val="55482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687EAF"/>
    <w:multiLevelType w:val="hybridMultilevel"/>
    <w:tmpl w:val="16AE54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FE6"/>
    <w:rsid w:val="00002862"/>
    <w:rsid w:val="000067B8"/>
    <w:rsid w:val="000349EA"/>
    <w:rsid w:val="00054941"/>
    <w:rsid w:val="000A4D34"/>
    <w:rsid w:val="000C3814"/>
    <w:rsid w:val="00116E4B"/>
    <w:rsid w:val="001570BA"/>
    <w:rsid w:val="001A51F7"/>
    <w:rsid w:val="001C4576"/>
    <w:rsid w:val="001C5F01"/>
    <w:rsid w:val="00214619"/>
    <w:rsid w:val="00220C13"/>
    <w:rsid w:val="00245725"/>
    <w:rsid w:val="002B0656"/>
    <w:rsid w:val="002B571E"/>
    <w:rsid w:val="0032798E"/>
    <w:rsid w:val="003363FA"/>
    <w:rsid w:val="00353E48"/>
    <w:rsid w:val="003857C5"/>
    <w:rsid w:val="00424423"/>
    <w:rsid w:val="00445A70"/>
    <w:rsid w:val="00465FC0"/>
    <w:rsid w:val="004910F9"/>
    <w:rsid w:val="004A43F8"/>
    <w:rsid w:val="004B2638"/>
    <w:rsid w:val="004E7225"/>
    <w:rsid w:val="00501EEA"/>
    <w:rsid w:val="00533072"/>
    <w:rsid w:val="00556307"/>
    <w:rsid w:val="00571263"/>
    <w:rsid w:val="00573675"/>
    <w:rsid w:val="005E3B17"/>
    <w:rsid w:val="005F0668"/>
    <w:rsid w:val="00664EA8"/>
    <w:rsid w:val="00684B72"/>
    <w:rsid w:val="006C3DE9"/>
    <w:rsid w:val="00722A23"/>
    <w:rsid w:val="00723C58"/>
    <w:rsid w:val="00790F18"/>
    <w:rsid w:val="007B16C0"/>
    <w:rsid w:val="007B1DBD"/>
    <w:rsid w:val="00844AC7"/>
    <w:rsid w:val="0088710C"/>
    <w:rsid w:val="00905759"/>
    <w:rsid w:val="00921A22"/>
    <w:rsid w:val="009A3EE2"/>
    <w:rsid w:val="00A16A76"/>
    <w:rsid w:val="00A62E6A"/>
    <w:rsid w:val="00AB5A48"/>
    <w:rsid w:val="00B5272C"/>
    <w:rsid w:val="00BA63A2"/>
    <w:rsid w:val="00BC120F"/>
    <w:rsid w:val="00C027B1"/>
    <w:rsid w:val="00C3444E"/>
    <w:rsid w:val="00C442F5"/>
    <w:rsid w:val="00C81D66"/>
    <w:rsid w:val="00CA029A"/>
    <w:rsid w:val="00CB40C3"/>
    <w:rsid w:val="00D3523B"/>
    <w:rsid w:val="00DB0190"/>
    <w:rsid w:val="00DC2516"/>
    <w:rsid w:val="00DF4C7A"/>
    <w:rsid w:val="00E37A1A"/>
    <w:rsid w:val="00E4079A"/>
    <w:rsid w:val="00E47FE6"/>
    <w:rsid w:val="00E75F81"/>
    <w:rsid w:val="00E915D4"/>
    <w:rsid w:val="00E943D2"/>
    <w:rsid w:val="00EE4B33"/>
    <w:rsid w:val="00F00B8C"/>
    <w:rsid w:val="00F023CF"/>
    <w:rsid w:val="00F23E10"/>
    <w:rsid w:val="00F44A57"/>
    <w:rsid w:val="00F46C9A"/>
    <w:rsid w:val="00F91542"/>
    <w:rsid w:val="00FB05D9"/>
    <w:rsid w:val="00FB3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FB3000-E608-40F6-9C14-2395BD550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736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0F9"/>
    <w:pPr>
      <w:ind w:left="720"/>
      <w:contextualSpacing/>
    </w:pPr>
  </w:style>
  <w:style w:type="paragraph" w:styleId="Header">
    <w:name w:val="header"/>
    <w:basedOn w:val="Normal"/>
    <w:link w:val="HeaderChar"/>
    <w:uiPriority w:val="99"/>
    <w:unhideWhenUsed/>
    <w:rsid w:val="005736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675"/>
  </w:style>
  <w:style w:type="paragraph" w:styleId="Footer">
    <w:name w:val="footer"/>
    <w:basedOn w:val="Normal"/>
    <w:link w:val="FooterChar"/>
    <w:uiPriority w:val="99"/>
    <w:unhideWhenUsed/>
    <w:rsid w:val="005736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675"/>
  </w:style>
  <w:style w:type="character" w:customStyle="1" w:styleId="Heading1Char">
    <w:name w:val="Heading 1 Char"/>
    <w:basedOn w:val="DefaultParagraphFont"/>
    <w:link w:val="Heading1"/>
    <w:uiPriority w:val="9"/>
    <w:rsid w:val="0057367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73675"/>
    <w:pPr>
      <w:outlineLvl w:val="9"/>
    </w:pPr>
  </w:style>
  <w:style w:type="paragraph" w:styleId="TOC1">
    <w:name w:val="toc 1"/>
    <w:basedOn w:val="Normal"/>
    <w:next w:val="Normal"/>
    <w:autoRedefine/>
    <w:uiPriority w:val="39"/>
    <w:unhideWhenUsed/>
    <w:rsid w:val="00573675"/>
    <w:pPr>
      <w:spacing w:after="100"/>
    </w:pPr>
  </w:style>
  <w:style w:type="character" w:styleId="Hyperlink">
    <w:name w:val="Hyperlink"/>
    <w:basedOn w:val="DefaultParagraphFont"/>
    <w:uiPriority w:val="99"/>
    <w:unhideWhenUsed/>
    <w:rsid w:val="005736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32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mywtcs.wtcsystem.edu/wtcsinternal/cmspages/getdocumentfile.aspx?nodeguid=ae77f1ca-8690-447e-9a1f-09f51e46c26d"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1.png"/><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237B1FF-BFD8-4529-9986-AE48D680E606}"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lang="en-US"/>
        </a:p>
      </dgm:t>
    </dgm:pt>
    <dgm:pt modelId="{69BD4679-3FC4-4B2E-9A7E-1848F1BDA896}">
      <dgm:prSet phldrT="[Text]" custT="1"/>
      <dgm:spPr>
        <a:solidFill>
          <a:schemeClr val="accent6"/>
        </a:solidFill>
        <a:ln>
          <a:solidFill>
            <a:schemeClr val="tx1"/>
          </a:solidFill>
        </a:ln>
      </dgm:spPr>
      <dgm:t>
        <a:bodyPr/>
        <a:lstStyle/>
        <a:p>
          <a:r>
            <a:rPr lang="en-US" sz="1800"/>
            <a:t>Retention Metrics</a:t>
          </a:r>
        </a:p>
      </dgm:t>
    </dgm:pt>
    <dgm:pt modelId="{96EB8E6C-83AB-4D15-84C5-3C1663EBF330}" type="parTrans" cxnId="{CC104D48-4009-4493-AF9A-E611AA2D0609}">
      <dgm:prSet/>
      <dgm:spPr/>
      <dgm:t>
        <a:bodyPr/>
        <a:lstStyle/>
        <a:p>
          <a:endParaRPr lang="en-US"/>
        </a:p>
      </dgm:t>
    </dgm:pt>
    <dgm:pt modelId="{AC9374F9-9DFC-4CA7-9DD6-BB09860AF982}" type="sibTrans" cxnId="{CC104D48-4009-4493-AF9A-E611AA2D0609}">
      <dgm:prSet/>
      <dgm:spPr/>
      <dgm:t>
        <a:bodyPr/>
        <a:lstStyle/>
        <a:p>
          <a:endParaRPr lang="en-US"/>
        </a:p>
      </dgm:t>
    </dgm:pt>
    <dgm:pt modelId="{AEF03BA9-D5DD-41ED-ACDA-A024E215190C}">
      <dgm:prSet phldrT="[Text]"/>
      <dgm:spPr>
        <a:ln>
          <a:solidFill>
            <a:schemeClr val="tx1"/>
          </a:solidFill>
        </a:ln>
      </dgm:spPr>
      <dgm:t>
        <a:bodyPr/>
        <a:lstStyle/>
        <a:p>
          <a:r>
            <a:rPr lang="en-US"/>
            <a:t>Client Demographic</a:t>
          </a:r>
        </a:p>
      </dgm:t>
    </dgm:pt>
    <dgm:pt modelId="{65823B79-A0B2-4F7C-91B3-769895E7CF59}" type="parTrans" cxnId="{81068CC1-F079-42AC-BB10-E8CA0CA7F99D}">
      <dgm:prSet/>
      <dgm:spPr/>
      <dgm:t>
        <a:bodyPr/>
        <a:lstStyle/>
        <a:p>
          <a:endParaRPr lang="en-US"/>
        </a:p>
      </dgm:t>
    </dgm:pt>
    <dgm:pt modelId="{84BEA254-0520-4B3D-A3DA-BA79AC46FB2B}" type="sibTrans" cxnId="{81068CC1-F079-42AC-BB10-E8CA0CA7F99D}">
      <dgm:prSet/>
      <dgm:spPr/>
      <dgm:t>
        <a:bodyPr/>
        <a:lstStyle/>
        <a:p>
          <a:endParaRPr lang="en-US"/>
        </a:p>
      </dgm:t>
    </dgm:pt>
    <dgm:pt modelId="{FC819373-8E60-4941-B4CF-099B19637B98}">
      <dgm:prSet phldrT="[Text]"/>
      <dgm:spPr>
        <a:ln>
          <a:solidFill>
            <a:schemeClr val="tx1"/>
          </a:solidFill>
        </a:ln>
      </dgm:spPr>
      <dgm:t>
        <a:bodyPr/>
        <a:lstStyle/>
        <a:p>
          <a:r>
            <a:rPr lang="en-US"/>
            <a:t>Districts</a:t>
          </a:r>
        </a:p>
      </dgm:t>
    </dgm:pt>
    <dgm:pt modelId="{D62D549A-0C20-45D3-A5A4-653946154FCF}" type="parTrans" cxnId="{8D870C8A-1AEE-4E64-A405-C0BD850F6501}">
      <dgm:prSet/>
      <dgm:spPr/>
      <dgm:t>
        <a:bodyPr/>
        <a:lstStyle/>
        <a:p>
          <a:endParaRPr lang="en-US"/>
        </a:p>
      </dgm:t>
    </dgm:pt>
    <dgm:pt modelId="{C7D8135D-72F2-437E-9822-C430D93A68D0}" type="sibTrans" cxnId="{8D870C8A-1AEE-4E64-A405-C0BD850F6501}">
      <dgm:prSet/>
      <dgm:spPr/>
      <dgm:t>
        <a:bodyPr/>
        <a:lstStyle/>
        <a:p>
          <a:endParaRPr lang="en-US"/>
        </a:p>
      </dgm:t>
    </dgm:pt>
    <dgm:pt modelId="{43D5C120-EB89-4802-9764-7AF8783456E6}">
      <dgm:prSet phldrT="[Text]"/>
      <dgm:spPr>
        <a:ln>
          <a:solidFill>
            <a:schemeClr val="tx1"/>
          </a:solidFill>
        </a:ln>
      </dgm:spPr>
      <dgm:t>
        <a:bodyPr/>
        <a:lstStyle/>
        <a:p>
          <a:r>
            <a:rPr lang="en-US"/>
            <a:t>Program</a:t>
          </a:r>
        </a:p>
      </dgm:t>
    </dgm:pt>
    <dgm:pt modelId="{815E8134-C3BF-4700-9D9F-E875F2309739}" type="parTrans" cxnId="{2DD05652-7E08-44EB-95FC-88FCA9E0B892}">
      <dgm:prSet/>
      <dgm:spPr/>
      <dgm:t>
        <a:bodyPr/>
        <a:lstStyle/>
        <a:p>
          <a:endParaRPr lang="en-US"/>
        </a:p>
      </dgm:t>
    </dgm:pt>
    <dgm:pt modelId="{7671F464-1E83-46F5-8027-1ECC9DA1664B}" type="sibTrans" cxnId="{2DD05652-7E08-44EB-95FC-88FCA9E0B892}">
      <dgm:prSet/>
      <dgm:spPr/>
      <dgm:t>
        <a:bodyPr/>
        <a:lstStyle/>
        <a:p>
          <a:endParaRPr lang="en-US"/>
        </a:p>
      </dgm:t>
    </dgm:pt>
    <dgm:pt modelId="{531F9E48-4D89-4AB8-ACF4-463A22C20829}">
      <dgm:prSet phldrT="[Text]"/>
      <dgm:spPr>
        <a:ln>
          <a:solidFill>
            <a:schemeClr val="tx1"/>
          </a:solidFill>
        </a:ln>
      </dgm:spPr>
      <dgm:t>
        <a:bodyPr/>
        <a:lstStyle/>
        <a:p>
          <a:r>
            <a:rPr lang="en-US"/>
            <a:t>Report Year</a:t>
          </a:r>
        </a:p>
      </dgm:t>
    </dgm:pt>
    <dgm:pt modelId="{2EF2C4CB-B623-4DB7-8B9B-5B16D8C7C54C}" type="parTrans" cxnId="{2E01DFBE-320A-4081-A7DE-650C7BD38E3F}">
      <dgm:prSet/>
      <dgm:spPr/>
      <dgm:t>
        <a:bodyPr/>
        <a:lstStyle/>
        <a:p>
          <a:endParaRPr lang="en-US"/>
        </a:p>
      </dgm:t>
    </dgm:pt>
    <dgm:pt modelId="{E6A588C2-298B-4892-84ED-42A8A15F433D}" type="sibTrans" cxnId="{2E01DFBE-320A-4081-A7DE-650C7BD38E3F}">
      <dgm:prSet/>
      <dgm:spPr/>
      <dgm:t>
        <a:bodyPr/>
        <a:lstStyle/>
        <a:p>
          <a:endParaRPr lang="en-US"/>
        </a:p>
      </dgm:t>
    </dgm:pt>
    <dgm:pt modelId="{D58C90EE-C6AC-4810-B5B2-3B38BA0BDDD4}">
      <dgm:prSet phldrT="[Text]"/>
      <dgm:spPr>
        <a:ln>
          <a:solidFill>
            <a:schemeClr val="tx1"/>
          </a:solidFill>
        </a:ln>
      </dgm:spPr>
      <dgm:t>
        <a:bodyPr/>
        <a:lstStyle/>
        <a:p>
          <a:r>
            <a:rPr lang="en-US"/>
            <a:t>Cohort Year</a:t>
          </a:r>
        </a:p>
      </dgm:t>
    </dgm:pt>
    <dgm:pt modelId="{3BBB1942-0F0E-47C8-A321-95173B93A819}" type="parTrans" cxnId="{BEFD836E-F1AF-42B4-A491-A38DE1CE6E16}">
      <dgm:prSet/>
      <dgm:spPr/>
      <dgm:t>
        <a:bodyPr/>
        <a:lstStyle/>
        <a:p>
          <a:endParaRPr lang="en-US"/>
        </a:p>
      </dgm:t>
    </dgm:pt>
    <dgm:pt modelId="{F7ABD6AF-326E-4373-A415-A41CE0A951F9}" type="sibTrans" cxnId="{BEFD836E-F1AF-42B4-A491-A38DE1CE6E16}">
      <dgm:prSet/>
      <dgm:spPr/>
      <dgm:t>
        <a:bodyPr/>
        <a:lstStyle/>
        <a:p>
          <a:endParaRPr lang="en-US"/>
        </a:p>
      </dgm:t>
    </dgm:pt>
    <dgm:pt modelId="{3D3D7B4A-430C-42B6-ABB8-A46036E4D7EA}">
      <dgm:prSet phldrT="[Text]"/>
      <dgm:spPr>
        <a:ln>
          <a:solidFill>
            <a:schemeClr val="tx1"/>
          </a:solidFill>
        </a:ln>
      </dgm:spPr>
      <dgm:t>
        <a:bodyPr/>
        <a:lstStyle/>
        <a:p>
          <a:r>
            <a:rPr lang="en-US"/>
            <a:t>Program Types</a:t>
          </a:r>
        </a:p>
      </dgm:t>
    </dgm:pt>
    <dgm:pt modelId="{C52136E0-0542-4D94-8AD6-27CAF78A31D5}" type="parTrans" cxnId="{3CE322B2-A6B6-4CE7-8BD4-E51742D31C6B}">
      <dgm:prSet/>
      <dgm:spPr/>
      <dgm:t>
        <a:bodyPr/>
        <a:lstStyle/>
        <a:p>
          <a:endParaRPr lang="en-US"/>
        </a:p>
      </dgm:t>
    </dgm:pt>
    <dgm:pt modelId="{3FB880D7-0FE5-4133-9E9E-3B516C61CA41}" type="sibTrans" cxnId="{3CE322B2-A6B6-4CE7-8BD4-E51742D31C6B}">
      <dgm:prSet/>
      <dgm:spPr/>
    </dgm:pt>
    <dgm:pt modelId="{617788FF-9E65-4C60-BF92-BA93DEE6E6D2}" type="pres">
      <dgm:prSet presAssocID="{2237B1FF-BFD8-4529-9986-AE48D680E606}" presName="Name0" presStyleCnt="0">
        <dgm:presLayoutVars>
          <dgm:chPref val="1"/>
          <dgm:dir/>
          <dgm:animOne val="branch"/>
          <dgm:animLvl val="lvl"/>
          <dgm:resizeHandles val="exact"/>
        </dgm:presLayoutVars>
      </dgm:prSet>
      <dgm:spPr/>
      <dgm:t>
        <a:bodyPr/>
        <a:lstStyle/>
        <a:p>
          <a:endParaRPr lang="en-US"/>
        </a:p>
      </dgm:t>
    </dgm:pt>
    <dgm:pt modelId="{610380A5-118E-4212-83E4-0C65E18BE176}" type="pres">
      <dgm:prSet presAssocID="{69BD4679-3FC4-4B2E-9A7E-1848F1BDA896}" presName="root1" presStyleCnt="0"/>
      <dgm:spPr/>
    </dgm:pt>
    <dgm:pt modelId="{7E0F4144-F534-4E25-A050-60B931936FDC}" type="pres">
      <dgm:prSet presAssocID="{69BD4679-3FC4-4B2E-9A7E-1848F1BDA896}" presName="LevelOneTextNode" presStyleLbl="node0" presStyleIdx="0" presStyleCnt="1" custAng="5400000" custScaleX="120750" custScaleY="39006" custLinFactX="-100000" custLinFactNeighborX="-131751" custLinFactNeighborY="-347">
        <dgm:presLayoutVars>
          <dgm:chPref val="3"/>
        </dgm:presLayoutVars>
      </dgm:prSet>
      <dgm:spPr/>
      <dgm:t>
        <a:bodyPr/>
        <a:lstStyle/>
        <a:p>
          <a:endParaRPr lang="en-US"/>
        </a:p>
      </dgm:t>
    </dgm:pt>
    <dgm:pt modelId="{6B34EDD0-A0B9-47F5-BF62-C37D031A721C}" type="pres">
      <dgm:prSet presAssocID="{69BD4679-3FC4-4B2E-9A7E-1848F1BDA896}" presName="level2hierChild" presStyleCnt="0"/>
      <dgm:spPr/>
    </dgm:pt>
    <dgm:pt modelId="{80105809-0874-466F-A349-4943DBDDDC10}" type="pres">
      <dgm:prSet presAssocID="{65823B79-A0B2-4F7C-91B3-769895E7CF59}" presName="conn2-1" presStyleLbl="parChTrans1D2" presStyleIdx="0" presStyleCnt="6"/>
      <dgm:spPr/>
      <dgm:t>
        <a:bodyPr/>
        <a:lstStyle/>
        <a:p>
          <a:endParaRPr lang="en-US"/>
        </a:p>
      </dgm:t>
    </dgm:pt>
    <dgm:pt modelId="{2FEC4600-1740-45BB-8756-84A8EF10AC33}" type="pres">
      <dgm:prSet presAssocID="{65823B79-A0B2-4F7C-91B3-769895E7CF59}" presName="connTx" presStyleLbl="parChTrans1D2" presStyleIdx="0" presStyleCnt="6"/>
      <dgm:spPr/>
      <dgm:t>
        <a:bodyPr/>
        <a:lstStyle/>
        <a:p>
          <a:endParaRPr lang="en-US"/>
        </a:p>
      </dgm:t>
    </dgm:pt>
    <dgm:pt modelId="{2A1B8FC7-1C0C-4048-9E2D-E005ABFF79CB}" type="pres">
      <dgm:prSet presAssocID="{AEF03BA9-D5DD-41ED-ACDA-A024E215190C}" presName="root2" presStyleCnt="0"/>
      <dgm:spPr/>
    </dgm:pt>
    <dgm:pt modelId="{3B552645-015F-450C-B0DF-98A4E6D3DF42}" type="pres">
      <dgm:prSet presAssocID="{AEF03BA9-D5DD-41ED-ACDA-A024E215190C}" presName="LevelTwoTextNode" presStyleLbl="node2" presStyleIdx="0" presStyleCnt="6" custScaleX="58613" custScaleY="39472" custLinFactNeighborX="18828">
        <dgm:presLayoutVars>
          <dgm:chPref val="3"/>
        </dgm:presLayoutVars>
      </dgm:prSet>
      <dgm:spPr/>
      <dgm:t>
        <a:bodyPr/>
        <a:lstStyle/>
        <a:p>
          <a:endParaRPr lang="en-US"/>
        </a:p>
      </dgm:t>
    </dgm:pt>
    <dgm:pt modelId="{116A9856-6B64-4480-A0C1-B530098DAFC9}" type="pres">
      <dgm:prSet presAssocID="{AEF03BA9-D5DD-41ED-ACDA-A024E215190C}" presName="level3hierChild" presStyleCnt="0"/>
      <dgm:spPr/>
    </dgm:pt>
    <dgm:pt modelId="{9235ACEC-5732-45F7-87FA-A62C6EC0CD73}" type="pres">
      <dgm:prSet presAssocID="{3BBB1942-0F0E-47C8-A321-95173B93A819}" presName="conn2-1" presStyleLbl="parChTrans1D2" presStyleIdx="1" presStyleCnt="6"/>
      <dgm:spPr/>
      <dgm:t>
        <a:bodyPr/>
        <a:lstStyle/>
        <a:p>
          <a:endParaRPr lang="en-US"/>
        </a:p>
      </dgm:t>
    </dgm:pt>
    <dgm:pt modelId="{ECEA28AF-4055-4117-B7A0-12E5DB1ABFD0}" type="pres">
      <dgm:prSet presAssocID="{3BBB1942-0F0E-47C8-A321-95173B93A819}" presName="connTx" presStyleLbl="parChTrans1D2" presStyleIdx="1" presStyleCnt="6"/>
      <dgm:spPr/>
      <dgm:t>
        <a:bodyPr/>
        <a:lstStyle/>
        <a:p>
          <a:endParaRPr lang="en-US"/>
        </a:p>
      </dgm:t>
    </dgm:pt>
    <dgm:pt modelId="{8B5A1140-0C5A-4B83-A7A6-1B66B2474450}" type="pres">
      <dgm:prSet presAssocID="{D58C90EE-C6AC-4810-B5B2-3B38BA0BDDD4}" presName="root2" presStyleCnt="0"/>
      <dgm:spPr/>
    </dgm:pt>
    <dgm:pt modelId="{5791D111-47E0-42B3-864E-29FE14CB974B}" type="pres">
      <dgm:prSet presAssocID="{D58C90EE-C6AC-4810-B5B2-3B38BA0BDDD4}" presName="LevelTwoTextNode" presStyleLbl="node2" presStyleIdx="1" presStyleCnt="6" custScaleX="57693" custScaleY="36184" custLinFactNeighborX="19058" custLinFactNeighborY="4033">
        <dgm:presLayoutVars>
          <dgm:chPref val="3"/>
        </dgm:presLayoutVars>
      </dgm:prSet>
      <dgm:spPr/>
      <dgm:t>
        <a:bodyPr/>
        <a:lstStyle/>
        <a:p>
          <a:endParaRPr lang="en-US"/>
        </a:p>
      </dgm:t>
    </dgm:pt>
    <dgm:pt modelId="{EF8FC8FD-2438-4C21-9853-8C0F5B268404}" type="pres">
      <dgm:prSet presAssocID="{D58C90EE-C6AC-4810-B5B2-3B38BA0BDDD4}" presName="level3hierChild" presStyleCnt="0"/>
      <dgm:spPr/>
    </dgm:pt>
    <dgm:pt modelId="{D7F268BE-F358-4EAB-9F80-F7A0104C6913}" type="pres">
      <dgm:prSet presAssocID="{D62D549A-0C20-45D3-A5A4-653946154FCF}" presName="conn2-1" presStyleLbl="parChTrans1D2" presStyleIdx="2" presStyleCnt="6"/>
      <dgm:spPr/>
      <dgm:t>
        <a:bodyPr/>
        <a:lstStyle/>
        <a:p>
          <a:endParaRPr lang="en-US"/>
        </a:p>
      </dgm:t>
    </dgm:pt>
    <dgm:pt modelId="{7B8006D8-F190-4FEE-9ECA-DC2FFB0D58F4}" type="pres">
      <dgm:prSet presAssocID="{D62D549A-0C20-45D3-A5A4-653946154FCF}" presName="connTx" presStyleLbl="parChTrans1D2" presStyleIdx="2" presStyleCnt="6"/>
      <dgm:spPr/>
      <dgm:t>
        <a:bodyPr/>
        <a:lstStyle/>
        <a:p>
          <a:endParaRPr lang="en-US"/>
        </a:p>
      </dgm:t>
    </dgm:pt>
    <dgm:pt modelId="{EF020BAD-C2E0-4CC1-87EC-B8021FCFE747}" type="pres">
      <dgm:prSet presAssocID="{FC819373-8E60-4941-B4CF-099B19637B98}" presName="root2" presStyleCnt="0"/>
      <dgm:spPr/>
    </dgm:pt>
    <dgm:pt modelId="{D096A9BD-6438-49CB-9D7E-691A2387FAEC}" type="pres">
      <dgm:prSet presAssocID="{FC819373-8E60-4941-B4CF-099B19637B98}" presName="LevelTwoTextNode" presStyleLbl="node2" presStyleIdx="2" presStyleCnt="6" custScaleX="58613" custScaleY="39472" custLinFactNeighborX="18828">
        <dgm:presLayoutVars>
          <dgm:chPref val="3"/>
        </dgm:presLayoutVars>
      </dgm:prSet>
      <dgm:spPr/>
      <dgm:t>
        <a:bodyPr/>
        <a:lstStyle/>
        <a:p>
          <a:endParaRPr lang="en-US"/>
        </a:p>
      </dgm:t>
    </dgm:pt>
    <dgm:pt modelId="{48C153C9-7BDE-4173-A813-C28A154A1296}" type="pres">
      <dgm:prSet presAssocID="{FC819373-8E60-4941-B4CF-099B19637B98}" presName="level3hierChild" presStyleCnt="0"/>
      <dgm:spPr/>
    </dgm:pt>
    <dgm:pt modelId="{395026F2-2210-49D8-B2F3-43FB870631F9}" type="pres">
      <dgm:prSet presAssocID="{815E8134-C3BF-4700-9D9F-E875F2309739}" presName="conn2-1" presStyleLbl="parChTrans1D2" presStyleIdx="3" presStyleCnt="6"/>
      <dgm:spPr/>
      <dgm:t>
        <a:bodyPr/>
        <a:lstStyle/>
        <a:p>
          <a:endParaRPr lang="en-US"/>
        </a:p>
      </dgm:t>
    </dgm:pt>
    <dgm:pt modelId="{AB7C6245-3CAF-4FD6-AD1C-EF618B730160}" type="pres">
      <dgm:prSet presAssocID="{815E8134-C3BF-4700-9D9F-E875F2309739}" presName="connTx" presStyleLbl="parChTrans1D2" presStyleIdx="3" presStyleCnt="6"/>
      <dgm:spPr/>
      <dgm:t>
        <a:bodyPr/>
        <a:lstStyle/>
        <a:p>
          <a:endParaRPr lang="en-US"/>
        </a:p>
      </dgm:t>
    </dgm:pt>
    <dgm:pt modelId="{97F3B651-9626-4EEF-AC72-C89E8B336C99}" type="pres">
      <dgm:prSet presAssocID="{43D5C120-EB89-4802-9764-7AF8783456E6}" presName="root2" presStyleCnt="0"/>
      <dgm:spPr/>
    </dgm:pt>
    <dgm:pt modelId="{CA9EF144-0405-4902-90FD-3E71C9543CF8}" type="pres">
      <dgm:prSet presAssocID="{43D5C120-EB89-4802-9764-7AF8783456E6}" presName="LevelTwoTextNode" presStyleLbl="node2" presStyleIdx="3" presStyleCnt="6" custScaleX="58613" custScaleY="39472" custLinFactNeighborX="18828">
        <dgm:presLayoutVars>
          <dgm:chPref val="3"/>
        </dgm:presLayoutVars>
      </dgm:prSet>
      <dgm:spPr/>
      <dgm:t>
        <a:bodyPr/>
        <a:lstStyle/>
        <a:p>
          <a:endParaRPr lang="en-US"/>
        </a:p>
      </dgm:t>
    </dgm:pt>
    <dgm:pt modelId="{E578A57C-C31A-45FC-855B-7699875CB6DD}" type="pres">
      <dgm:prSet presAssocID="{43D5C120-EB89-4802-9764-7AF8783456E6}" presName="level3hierChild" presStyleCnt="0"/>
      <dgm:spPr/>
    </dgm:pt>
    <dgm:pt modelId="{0A4BC44A-EA78-433E-B105-317042C078EE}" type="pres">
      <dgm:prSet presAssocID="{C52136E0-0542-4D94-8AD6-27CAF78A31D5}" presName="conn2-1" presStyleLbl="parChTrans1D2" presStyleIdx="4" presStyleCnt="6"/>
      <dgm:spPr/>
    </dgm:pt>
    <dgm:pt modelId="{2FFC2CFF-F606-43F1-8C5A-5D10F615ECF0}" type="pres">
      <dgm:prSet presAssocID="{C52136E0-0542-4D94-8AD6-27CAF78A31D5}" presName="connTx" presStyleLbl="parChTrans1D2" presStyleIdx="4" presStyleCnt="6"/>
      <dgm:spPr/>
    </dgm:pt>
    <dgm:pt modelId="{073E9384-9EA5-4EBA-BECF-FDDD8C405B60}" type="pres">
      <dgm:prSet presAssocID="{3D3D7B4A-430C-42B6-ABB8-A46036E4D7EA}" presName="root2" presStyleCnt="0"/>
      <dgm:spPr/>
    </dgm:pt>
    <dgm:pt modelId="{95380E36-156B-4042-B964-CB5AE76B6E60}" type="pres">
      <dgm:prSet presAssocID="{3D3D7B4A-430C-42B6-ABB8-A46036E4D7EA}" presName="LevelTwoTextNode" presStyleLbl="node2" presStyleIdx="4" presStyleCnt="6" custScaleX="59119" custScaleY="36733" custLinFactNeighborX="17983" custLinFactNeighborY="1512">
        <dgm:presLayoutVars>
          <dgm:chPref val="3"/>
        </dgm:presLayoutVars>
      </dgm:prSet>
      <dgm:spPr/>
      <dgm:t>
        <a:bodyPr/>
        <a:lstStyle/>
        <a:p>
          <a:endParaRPr lang="en-US"/>
        </a:p>
      </dgm:t>
    </dgm:pt>
    <dgm:pt modelId="{91134288-D6DF-4CCA-B4D6-7E1BB74589F9}" type="pres">
      <dgm:prSet presAssocID="{3D3D7B4A-430C-42B6-ABB8-A46036E4D7EA}" presName="level3hierChild" presStyleCnt="0"/>
      <dgm:spPr/>
    </dgm:pt>
    <dgm:pt modelId="{03A82690-7F56-4091-AE1A-DCE4A527120E}" type="pres">
      <dgm:prSet presAssocID="{2EF2C4CB-B623-4DB7-8B9B-5B16D8C7C54C}" presName="conn2-1" presStyleLbl="parChTrans1D2" presStyleIdx="5" presStyleCnt="6"/>
      <dgm:spPr/>
      <dgm:t>
        <a:bodyPr/>
        <a:lstStyle/>
        <a:p>
          <a:endParaRPr lang="en-US"/>
        </a:p>
      </dgm:t>
    </dgm:pt>
    <dgm:pt modelId="{171CC2E2-9100-45DC-AD9A-51F3C0770823}" type="pres">
      <dgm:prSet presAssocID="{2EF2C4CB-B623-4DB7-8B9B-5B16D8C7C54C}" presName="connTx" presStyleLbl="parChTrans1D2" presStyleIdx="5" presStyleCnt="6"/>
      <dgm:spPr/>
      <dgm:t>
        <a:bodyPr/>
        <a:lstStyle/>
        <a:p>
          <a:endParaRPr lang="en-US"/>
        </a:p>
      </dgm:t>
    </dgm:pt>
    <dgm:pt modelId="{377B79F0-96BC-455E-89A4-E3E61E1876A0}" type="pres">
      <dgm:prSet presAssocID="{531F9E48-4D89-4AB8-ACF4-463A22C20829}" presName="root2" presStyleCnt="0"/>
      <dgm:spPr/>
    </dgm:pt>
    <dgm:pt modelId="{FEA6E2CD-38F9-4769-AB0A-B366026F122F}" type="pres">
      <dgm:prSet presAssocID="{531F9E48-4D89-4AB8-ACF4-463A22C20829}" presName="LevelTwoTextNode" presStyleLbl="node2" presStyleIdx="5" presStyleCnt="6" custScaleX="58613" custScaleY="39472" custLinFactNeighborX="18828">
        <dgm:presLayoutVars>
          <dgm:chPref val="3"/>
        </dgm:presLayoutVars>
      </dgm:prSet>
      <dgm:spPr/>
      <dgm:t>
        <a:bodyPr/>
        <a:lstStyle/>
        <a:p>
          <a:endParaRPr lang="en-US"/>
        </a:p>
      </dgm:t>
    </dgm:pt>
    <dgm:pt modelId="{AA517A45-D616-4CAA-8DA6-3ECE5D1D665D}" type="pres">
      <dgm:prSet presAssocID="{531F9E48-4D89-4AB8-ACF4-463A22C20829}" presName="level3hierChild" presStyleCnt="0"/>
      <dgm:spPr/>
    </dgm:pt>
  </dgm:ptLst>
  <dgm:cxnLst>
    <dgm:cxn modelId="{3CE322B2-A6B6-4CE7-8BD4-E51742D31C6B}" srcId="{69BD4679-3FC4-4B2E-9A7E-1848F1BDA896}" destId="{3D3D7B4A-430C-42B6-ABB8-A46036E4D7EA}" srcOrd="4" destOrd="0" parTransId="{C52136E0-0542-4D94-8AD6-27CAF78A31D5}" sibTransId="{3FB880D7-0FE5-4133-9E9E-3B516C61CA41}"/>
    <dgm:cxn modelId="{ABDC35D8-1D61-40AC-B9B0-7CFDEABA37A8}" type="presOf" srcId="{D58C90EE-C6AC-4810-B5B2-3B38BA0BDDD4}" destId="{5791D111-47E0-42B3-864E-29FE14CB974B}" srcOrd="0" destOrd="0" presId="urn:microsoft.com/office/officeart/2008/layout/HorizontalMultiLevelHierarchy"/>
    <dgm:cxn modelId="{EB791B6E-403B-4D29-B272-9634B8C48C17}" type="presOf" srcId="{AEF03BA9-D5DD-41ED-ACDA-A024E215190C}" destId="{3B552645-015F-450C-B0DF-98A4E6D3DF42}" srcOrd="0" destOrd="0" presId="urn:microsoft.com/office/officeart/2008/layout/HorizontalMultiLevelHierarchy"/>
    <dgm:cxn modelId="{2DD05652-7E08-44EB-95FC-88FCA9E0B892}" srcId="{69BD4679-3FC4-4B2E-9A7E-1848F1BDA896}" destId="{43D5C120-EB89-4802-9764-7AF8783456E6}" srcOrd="3" destOrd="0" parTransId="{815E8134-C3BF-4700-9D9F-E875F2309739}" sibTransId="{7671F464-1E83-46F5-8027-1ECC9DA1664B}"/>
    <dgm:cxn modelId="{65BD7A5B-24F7-45BA-98FE-C71D88EED7EF}" type="presOf" srcId="{531F9E48-4D89-4AB8-ACF4-463A22C20829}" destId="{FEA6E2CD-38F9-4769-AB0A-B366026F122F}" srcOrd="0" destOrd="0" presId="urn:microsoft.com/office/officeart/2008/layout/HorizontalMultiLevelHierarchy"/>
    <dgm:cxn modelId="{5C84D24E-12D9-44E4-BD38-F5E66C05E2F2}" type="presOf" srcId="{815E8134-C3BF-4700-9D9F-E875F2309739}" destId="{395026F2-2210-49D8-B2F3-43FB870631F9}" srcOrd="0" destOrd="0" presId="urn:microsoft.com/office/officeart/2008/layout/HorizontalMultiLevelHierarchy"/>
    <dgm:cxn modelId="{479CCB33-2409-4564-8267-20284E56327A}" type="presOf" srcId="{43D5C120-EB89-4802-9764-7AF8783456E6}" destId="{CA9EF144-0405-4902-90FD-3E71C9543CF8}" srcOrd="0" destOrd="0" presId="urn:microsoft.com/office/officeart/2008/layout/HorizontalMultiLevelHierarchy"/>
    <dgm:cxn modelId="{91859094-58F3-4B55-8CE5-25AAC6EAAE36}" type="presOf" srcId="{2EF2C4CB-B623-4DB7-8B9B-5B16D8C7C54C}" destId="{171CC2E2-9100-45DC-AD9A-51F3C0770823}" srcOrd="1" destOrd="0" presId="urn:microsoft.com/office/officeart/2008/layout/HorizontalMultiLevelHierarchy"/>
    <dgm:cxn modelId="{01CC0E1D-F813-4E3A-A5AC-A0EC5843144B}" type="presOf" srcId="{3BBB1942-0F0E-47C8-A321-95173B93A819}" destId="{ECEA28AF-4055-4117-B7A0-12E5DB1ABFD0}" srcOrd="1" destOrd="0" presId="urn:microsoft.com/office/officeart/2008/layout/HorizontalMultiLevelHierarchy"/>
    <dgm:cxn modelId="{1FFB79E0-FA3C-4236-9E7B-74D29C0CAD75}" type="presOf" srcId="{2EF2C4CB-B623-4DB7-8B9B-5B16D8C7C54C}" destId="{03A82690-7F56-4091-AE1A-DCE4A527120E}" srcOrd="0" destOrd="0" presId="urn:microsoft.com/office/officeart/2008/layout/HorizontalMultiLevelHierarchy"/>
    <dgm:cxn modelId="{DAF77C6B-037E-4C99-B6AB-086B5D71D5DC}" type="presOf" srcId="{69BD4679-3FC4-4B2E-9A7E-1848F1BDA896}" destId="{7E0F4144-F534-4E25-A050-60B931936FDC}" srcOrd="0" destOrd="0" presId="urn:microsoft.com/office/officeart/2008/layout/HorizontalMultiLevelHierarchy"/>
    <dgm:cxn modelId="{8D885C87-D558-4EC6-B6CE-83F9F161D865}" type="presOf" srcId="{815E8134-C3BF-4700-9D9F-E875F2309739}" destId="{AB7C6245-3CAF-4FD6-AD1C-EF618B730160}" srcOrd="1" destOrd="0" presId="urn:microsoft.com/office/officeart/2008/layout/HorizontalMultiLevelHierarchy"/>
    <dgm:cxn modelId="{D47AFC74-AA81-4842-815E-3F1F60F9BD75}" type="presOf" srcId="{3BBB1942-0F0E-47C8-A321-95173B93A819}" destId="{9235ACEC-5732-45F7-87FA-A62C6EC0CD73}" srcOrd="0" destOrd="0" presId="urn:microsoft.com/office/officeart/2008/layout/HorizontalMultiLevelHierarchy"/>
    <dgm:cxn modelId="{BEFD836E-F1AF-42B4-A491-A38DE1CE6E16}" srcId="{69BD4679-3FC4-4B2E-9A7E-1848F1BDA896}" destId="{D58C90EE-C6AC-4810-B5B2-3B38BA0BDDD4}" srcOrd="1" destOrd="0" parTransId="{3BBB1942-0F0E-47C8-A321-95173B93A819}" sibTransId="{F7ABD6AF-326E-4373-A415-A41CE0A951F9}"/>
    <dgm:cxn modelId="{0C905CA4-4433-4E14-BCF8-2643877BB74A}" type="presOf" srcId="{FC819373-8E60-4941-B4CF-099B19637B98}" destId="{D096A9BD-6438-49CB-9D7E-691A2387FAEC}" srcOrd="0" destOrd="0" presId="urn:microsoft.com/office/officeart/2008/layout/HorizontalMultiLevelHierarchy"/>
    <dgm:cxn modelId="{CC104D48-4009-4493-AF9A-E611AA2D0609}" srcId="{2237B1FF-BFD8-4529-9986-AE48D680E606}" destId="{69BD4679-3FC4-4B2E-9A7E-1848F1BDA896}" srcOrd="0" destOrd="0" parTransId="{96EB8E6C-83AB-4D15-84C5-3C1663EBF330}" sibTransId="{AC9374F9-9DFC-4CA7-9DD6-BB09860AF982}"/>
    <dgm:cxn modelId="{8D870C8A-1AEE-4E64-A405-C0BD850F6501}" srcId="{69BD4679-3FC4-4B2E-9A7E-1848F1BDA896}" destId="{FC819373-8E60-4941-B4CF-099B19637B98}" srcOrd="2" destOrd="0" parTransId="{D62D549A-0C20-45D3-A5A4-653946154FCF}" sibTransId="{C7D8135D-72F2-437E-9822-C430D93A68D0}"/>
    <dgm:cxn modelId="{9E78FEAD-B51C-4988-A4D9-28FC3E28278B}" type="presOf" srcId="{3D3D7B4A-430C-42B6-ABB8-A46036E4D7EA}" destId="{95380E36-156B-4042-B964-CB5AE76B6E60}" srcOrd="0" destOrd="0" presId="urn:microsoft.com/office/officeart/2008/layout/HorizontalMultiLevelHierarchy"/>
    <dgm:cxn modelId="{9C128A3A-766D-4651-9AD3-5F00FE69A231}" type="presOf" srcId="{D62D549A-0C20-45D3-A5A4-653946154FCF}" destId="{D7F268BE-F358-4EAB-9F80-F7A0104C6913}" srcOrd="0" destOrd="0" presId="urn:microsoft.com/office/officeart/2008/layout/HorizontalMultiLevelHierarchy"/>
    <dgm:cxn modelId="{2E01DFBE-320A-4081-A7DE-650C7BD38E3F}" srcId="{69BD4679-3FC4-4B2E-9A7E-1848F1BDA896}" destId="{531F9E48-4D89-4AB8-ACF4-463A22C20829}" srcOrd="5" destOrd="0" parTransId="{2EF2C4CB-B623-4DB7-8B9B-5B16D8C7C54C}" sibTransId="{E6A588C2-298B-4892-84ED-42A8A15F433D}"/>
    <dgm:cxn modelId="{81068CC1-F079-42AC-BB10-E8CA0CA7F99D}" srcId="{69BD4679-3FC4-4B2E-9A7E-1848F1BDA896}" destId="{AEF03BA9-D5DD-41ED-ACDA-A024E215190C}" srcOrd="0" destOrd="0" parTransId="{65823B79-A0B2-4F7C-91B3-769895E7CF59}" sibTransId="{84BEA254-0520-4B3D-A3DA-BA79AC46FB2B}"/>
    <dgm:cxn modelId="{AB855A33-5215-4A7F-A501-FB04F01284E2}" type="presOf" srcId="{C52136E0-0542-4D94-8AD6-27CAF78A31D5}" destId="{2FFC2CFF-F606-43F1-8C5A-5D10F615ECF0}" srcOrd="1" destOrd="0" presId="urn:microsoft.com/office/officeart/2008/layout/HorizontalMultiLevelHierarchy"/>
    <dgm:cxn modelId="{EF3996CD-BB43-4DE8-B392-DB6F837E9EE6}" type="presOf" srcId="{D62D549A-0C20-45D3-A5A4-653946154FCF}" destId="{7B8006D8-F190-4FEE-9ECA-DC2FFB0D58F4}" srcOrd="1" destOrd="0" presId="urn:microsoft.com/office/officeart/2008/layout/HorizontalMultiLevelHierarchy"/>
    <dgm:cxn modelId="{087F27A2-2C25-4224-8B17-C41156B2336B}" type="presOf" srcId="{65823B79-A0B2-4F7C-91B3-769895E7CF59}" destId="{2FEC4600-1740-45BB-8756-84A8EF10AC33}" srcOrd="1" destOrd="0" presId="urn:microsoft.com/office/officeart/2008/layout/HorizontalMultiLevelHierarchy"/>
    <dgm:cxn modelId="{80985A71-0E6A-43C8-891E-3D764790E63F}" type="presOf" srcId="{65823B79-A0B2-4F7C-91B3-769895E7CF59}" destId="{80105809-0874-466F-A349-4943DBDDDC10}" srcOrd="0" destOrd="0" presId="urn:microsoft.com/office/officeart/2008/layout/HorizontalMultiLevelHierarchy"/>
    <dgm:cxn modelId="{19B4FE2F-683A-4E06-B200-6EC24D485B21}" type="presOf" srcId="{2237B1FF-BFD8-4529-9986-AE48D680E606}" destId="{617788FF-9E65-4C60-BF92-BA93DEE6E6D2}" srcOrd="0" destOrd="0" presId="urn:microsoft.com/office/officeart/2008/layout/HorizontalMultiLevelHierarchy"/>
    <dgm:cxn modelId="{07EE724A-3180-435A-9B51-644835F02DB8}" type="presOf" srcId="{C52136E0-0542-4D94-8AD6-27CAF78A31D5}" destId="{0A4BC44A-EA78-433E-B105-317042C078EE}" srcOrd="0" destOrd="0" presId="urn:microsoft.com/office/officeart/2008/layout/HorizontalMultiLevelHierarchy"/>
    <dgm:cxn modelId="{8227D57E-CFA7-48E0-B128-A5A523D81602}" type="presParOf" srcId="{617788FF-9E65-4C60-BF92-BA93DEE6E6D2}" destId="{610380A5-118E-4212-83E4-0C65E18BE176}" srcOrd="0" destOrd="0" presId="urn:microsoft.com/office/officeart/2008/layout/HorizontalMultiLevelHierarchy"/>
    <dgm:cxn modelId="{5F03E048-9EB2-491D-A29D-A45392F03FAE}" type="presParOf" srcId="{610380A5-118E-4212-83E4-0C65E18BE176}" destId="{7E0F4144-F534-4E25-A050-60B931936FDC}" srcOrd="0" destOrd="0" presId="urn:microsoft.com/office/officeart/2008/layout/HorizontalMultiLevelHierarchy"/>
    <dgm:cxn modelId="{FE1D9E81-2E08-4818-A76A-0E27324FD0F3}" type="presParOf" srcId="{610380A5-118E-4212-83E4-0C65E18BE176}" destId="{6B34EDD0-A0B9-47F5-BF62-C37D031A721C}" srcOrd="1" destOrd="0" presId="urn:microsoft.com/office/officeart/2008/layout/HorizontalMultiLevelHierarchy"/>
    <dgm:cxn modelId="{25DC7D47-74F7-4D66-85D2-BFF5409EF8E5}" type="presParOf" srcId="{6B34EDD0-A0B9-47F5-BF62-C37D031A721C}" destId="{80105809-0874-466F-A349-4943DBDDDC10}" srcOrd="0" destOrd="0" presId="urn:microsoft.com/office/officeart/2008/layout/HorizontalMultiLevelHierarchy"/>
    <dgm:cxn modelId="{CDC2985E-81F2-4651-B571-9298F7C02E41}" type="presParOf" srcId="{80105809-0874-466F-A349-4943DBDDDC10}" destId="{2FEC4600-1740-45BB-8756-84A8EF10AC33}" srcOrd="0" destOrd="0" presId="urn:microsoft.com/office/officeart/2008/layout/HorizontalMultiLevelHierarchy"/>
    <dgm:cxn modelId="{1C41094F-F81E-4E66-920C-EA7541D67E4B}" type="presParOf" srcId="{6B34EDD0-A0B9-47F5-BF62-C37D031A721C}" destId="{2A1B8FC7-1C0C-4048-9E2D-E005ABFF79CB}" srcOrd="1" destOrd="0" presId="urn:microsoft.com/office/officeart/2008/layout/HorizontalMultiLevelHierarchy"/>
    <dgm:cxn modelId="{65614361-89AF-4D6D-9D93-6B73633E4541}" type="presParOf" srcId="{2A1B8FC7-1C0C-4048-9E2D-E005ABFF79CB}" destId="{3B552645-015F-450C-B0DF-98A4E6D3DF42}" srcOrd="0" destOrd="0" presId="urn:microsoft.com/office/officeart/2008/layout/HorizontalMultiLevelHierarchy"/>
    <dgm:cxn modelId="{89A1BDCC-37A8-484C-8131-5DAC783AF505}" type="presParOf" srcId="{2A1B8FC7-1C0C-4048-9E2D-E005ABFF79CB}" destId="{116A9856-6B64-4480-A0C1-B530098DAFC9}" srcOrd="1" destOrd="0" presId="urn:microsoft.com/office/officeart/2008/layout/HorizontalMultiLevelHierarchy"/>
    <dgm:cxn modelId="{58A23D0E-9C17-4BB6-BFEA-427C4292E861}" type="presParOf" srcId="{6B34EDD0-A0B9-47F5-BF62-C37D031A721C}" destId="{9235ACEC-5732-45F7-87FA-A62C6EC0CD73}" srcOrd="2" destOrd="0" presId="urn:microsoft.com/office/officeart/2008/layout/HorizontalMultiLevelHierarchy"/>
    <dgm:cxn modelId="{AD9C9E02-FB2C-4D41-AB85-ABB9DAE20DB0}" type="presParOf" srcId="{9235ACEC-5732-45F7-87FA-A62C6EC0CD73}" destId="{ECEA28AF-4055-4117-B7A0-12E5DB1ABFD0}" srcOrd="0" destOrd="0" presId="urn:microsoft.com/office/officeart/2008/layout/HorizontalMultiLevelHierarchy"/>
    <dgm:cxn modelId="{A13D5AB2-9C0B-407A-A147-4E8A0D0CCF68}" type="presParOf" srcId="{6B34EDD0-A0B9-47F5-BF62-C37D031A721C}" destId="{8B5A1140-0C5A-4B83-A7A6-1B66B2474450}" srcOrd="3" destOrd="0" presId="urn:microsoft.com/office/officeart/2008/layout/HorizontalMultiLevelHierarchy"/>
    <dgm:cxn modelId="{CF9C3AC2-6BCC-4F68-9917-6EE830CCAF14}" type="presParOf" srcId="{8B5A1140-0C5A-4B83-A7A6-1B66B2474450}" destId="{5791D111-47E0-42B3-864E-29FE14CB974B}" srcOrd="0" destOrd="0" presId="urn:microsoft.com/office/officeart/2008/layout/HorizontalMultiLevelHierarchy"/>
    <dgm:cxn modelId="{9C9E2A99-855B-4C0E-BD34-3F36FB76542F}" type="presParOf" srcId="{8B5A1140-0C5A-4B83-A7A6-1B66B2474450}" destId="{EF8FC8FD-2438-4C21-9853-8C0F5B268404}" srcOrd="1" destOrd="0" presId="urn:microsoft.com/office/officeart/2008/layout/HorizontalMultiLevelHierarchy"/>
    <dgm:cxn modelId="{FC2427F7-8B45-469A-B733-EF763C83AB4B}" type="presParOf" srcId="{6B34EDD0-A0B9-47F5-BF62-C37D031A721C}" destId="{D7F268BE-F358-4EAB-9F80-F7A0104C6913}" srcOrd="4" destOrd="0" presId="urn:microsoft.com/office/officeart/2008/layout/HorizontalMultiLevelHierarchy"/>
    <dgm:cxn modelId="{0B5CBD79-C8A4-4F67-AC44-59E9318415AB}" type="presParOf" srcId="{D7F268BE-F358-4EAB-9F80-F7A0104C6913}" destId="{7B8006D8-F190-4FEE-9ECA-DC2FFB0D58F4}" srcOrd="0" destOrd="0" presId="urn:microsoft.com/office/officeart/2008/layout/HorizontalMultiLevelHierarchy"/>
    <dgm:cxn modelId="{00E45D96-FC23-4695-BBE6-62BC4D712058}" type="presParOf" srcId="{6B34EDD0-A0B9-47F5-BF62-C37D031A721C}" destId="{EF020BAD-C2E0-4CC1-87EC-B8021FCFE747}" srcOrd="5" destOrd="0" presId="urn:microsoft.com/office/officeart/2008/layout/HorizontalMultiLevelHierarchy"/>
    <dgm:cxn modelId="{22ADC386-757C-415B-819C-B4CFAE162F57}" type="presParOf" srcId="{EF020BAD-C2E0-4CC1-87EC-B8021FCFE747}" destId="{D096A9BD-6438-49CB-9D7E-691A2387FAEC}" srcOrd="0" destOrd="0" presId="urn:microsoft.com/office/officeart/2008/layout/HorizontalMultiLevelHierarchy"/>
    <dgm:cxn modelId="{A8EE629C-93F0-4658-9B13-181731D1D178}" type="presParOf" srcId="{EF020BAD-C2E0-4CC1-87EC-B8021FCFE747}" destId="{48C153C9-7BDE-4173-A813-C28A154A1296}" srcOrd="1" destOrd="0" presId="urn:microsoft.com/office/officeart/2008/layout/HorizontalMultiLevelHierarchy"/>
    <dgm:cxn modelId="{A35B90AB-52BB-4DF7-8A99-0CE0235AF605}" type="presParOf" srcId="{6B34EDD0-A0B9-47F5-BF62-C37D031A721C}" destId="{395026F2-2210-49D8-B2F3-43FB870631F9}" srcOrd="6" destOrd="0" presId="urn:microsoft.com/office/officeart/2008/layout/HorizontalMultiLevelHierarchy"/>
    <dgm:cxn modelId="{831EE9CF-B270-4705-8282-7E7DD777B64F}" type="presParOf" srcId="{395026F2-2210-49D8-B2F3-43FB870631F9}" destId="{AB7C6245-3CAF-4FD6-AD1C-EF618B730160}" srcOrd="0" destOrd="0" presId="urn:microsoft.com/office/officeart/2008/layout/HorizontalMultiLevelHierarchy"/>
    <dgm:cxn modelId="{81CDD9B3-E337-4346-8E5E-FB1EF8EDCBB2}" type="presParOf" srcId="{6B34EDD0-A0B9-47F5-BF62-C37D031A721C}" destId="{97F3B651-9626-4EEF-AC72-C89E8B336C99}" srcOrd="7" destOrd="0" presId="urn:microsoft.com/office/officeart/2008/layout/HorizontalMultiLevelHierarchy"/>
    <dgm:cxn modelId="{F71784EF-88F8-4EED-AF6C-40AAAE5E3907}" type="presParOf" srcId="{97F3B651-9626-4EEF-AC72-C89E8B336C99}" destId="{CA9EF144-0405-4902-90FD-3E71C9543CF8}" srcOrd="0" destOrd="0" presId="urn:microsoft.com/office/officeart/2008/layout/HorizontalMultiLevelHierarchy"/>
    <dgm:cxn modelId="{B628D12D-FB72-42BD-AF1F-A2C10CA86BCA}" type="presParOf" srcId="{97F3B651-9626-4EEF-AC72-C89E8B336C99}" destId="{E578A57C-C31A-45FC-855B-7699875CB6DD}" srcOrd="1" destOrd="0" presId="urn:microsoft.com/office/officeart/2008/layout/HorizontalMultiLevelHierarchy"/>
    <dgm:cxn modelId="{5A885AE1-AF17-47BF-A3A5-EE6498C39612}" type="presParOf" srcId="{6B34EDD0-A0B9-47F5-BF62-C37D031A721C}" destId="{0A4BC44A-EA78-433E-B105-317042C078EE}" srcOrd="8" destOrd="0" presId="urn:microsoft.com/office/officeart/2008/layout/HorizontalMultiLevelHierarchy"/>
    <dgm:cxn modelId="{B07E890B-D8E8-4B9C-A65F-862ADA86DD58}" type="presParOf" srcId="{0A4BC44A-EA78-433E-B105-317042C078EE}" destId="{2FFC2CFF-F606-43F1-8C5A-5D10F615ECF0}" srcOrd="0" destOrd="0" presId="urn:microsoft.com/office/officeart/2008/layout/HorizontalMultiLevelHierarchy"/>
    <dgm:cxn modelId="{6B769B40-5AA5-461E-AB91-18EE26C0E054}" type="presParOf" srcId="{6B34EDD0-A0B9-47F5-BF62-C37D031A721C}" destId="{073E9384-9EA5-4EBA-BECF-FDDD8C405B60}" srcOrd="9" destOrd="0" presId="urn:microsoft.com/office/officeart/2008/layout/HorizontalMultiLevelHierarchy"/>
    <dgm:cxn modelId="{215C6B2D-49AC-4073-9A96-70D04D2233DF}" type="presParOf" srcId="{073E9384-9EA5-4EBA-BECF-FDDD8C405B60}" destId="{95380E36-156B-4042-B964-CB5AE76B6E60}" srcOrd="0" destOrd="0" presId="urn:microsoft.com/office/officeart/2008/layout/HorizontalMultiLevelHierarchy"/>
    <dgm:cxn modelId="{0B5B0B04-1F43-44BF-BF0F-D0A08D467C61}" type="presParOf" srcId="{073E9384-9EA5-4EBA-BECF-FDDD8C405B60}" destId="{91134288-D6DF-4CCA-B4D6-7E1BB74589F9}" srcOrd="1" destOrd="0" presId="urn:microsoft.com/office/officeart/2008/layout/HorizontalMultiLevelHierarchy"/>
    <dgm:cxn modelId="{AF691807-5DF7-4B24-AFE7-39700ED1A04D}" type="presParOf" srcId="{6B34EDD0-A0B9-47F5-BF62-C37D031A721C}" destId="{03A82690-7F56-4091-AE1A-DCE4A527120E}" srcOrd="10" destOrd="0" presId="urn:microsoft.com/office/officeart/2008/layout/HorizontalMultiLevelHierarchy"/>
    <dgm:cxn modelId="{DF5B68AE-337A-4041-8652-62B978BF197F}" type="presParOf" srcId="{03A82690-7F56-4091-AE1A-DCE4A527120E}" destId="{171CC2E2-9100-45DC-AD9A-51F3C0770823}" srcOrd="0" destOrd="0" presId="urn:microsoft.com/office/officeart/2008/layout/HorizontalMultiLevelHierarchy"/>
    <dgm:cxn modelId="{E22131B6-F3BF-4E84-ADD0-1F4A58F5A80B}" type="presParOf" srcId="{6B34EDD0-A0B9-47F5-BF62-C37D031A721C}" destId="{377B79F0-96BC-455E-89A4-E3E61E1876A0}" srcOrd="11" destOrd="0" presId="urn:microsoft.com/office/officeart/2008/layout/HorizontalMultiLevelHierarchy"/>
    <dgm:cxn modelId="{4AE43F11-A045-46DE-B7C3-1F48E90F15B2}" type="presParOf" srcId="{377B79F0-96BC-455E-89A4-E3E61E1876A0}" destId="{FEA6E2CD-38F9-4769-AB0A-B366026F122F}" srcOrd="0" destOrd="0" presId="urn:microsoft.com/office/officeart/2008/layout/HorizontalMultiLevelHierarchy"/>
    <dgm:cxn modelId="{73851261-A6A1-4FC0-A767-7D8955BBF0F8}" type="presParOf" srcId="{377B79F0-96BC-455E-89A4-E3E61E1876A0}" destId="{AA517A45-D616-4CAA-8DA6-3ECE5D1D665D}" srcOrd="1" destOrd="0" presId="urn:microsoft.com/office/officeart/2008/layout/HorizontalMultiLevelHierarchy"/>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A82690-7F56-4091-AE1A-DCE4A527120E}">
      <dsp:nvSpPr>
        <dsp:cNvPr id="0" name=""/>
        <dsp:cNvSpPr/>
      </dsp:nvSpPr>
      <dsp:spPr>
        <a:xfrm>
          <a:off x="1026703" y="1645847"/>
          <a:ext cx="1743485" cy="1007623"/>
        </a:xfrm>
        <a:custGeom>
          <a:avLst/>
          <a:gdLst/>
          <a:ahLst/>
          <a:cxnLst/>
          <a:rect l="0" t="0" r="0" b="0"/>
          <a:pathLst>
            <a:path>
              <a:moveTo>
                <a:pt x="0" y="0"/>
              </a:moveTo>
              <a:lnTo>
                <a:pt x="871742" y="0"/>
              </a:lnTo>
              <a:lnTo>
                <a:pt x="871742" y="1007623"/>
              </a:lnTo>
              <a:lnTo>
                <a:pt x="1743485" y="100762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en-US" sz="700" kern="1200"/>
        </a:p>
      </dsp:txBody>
      <dsp:txXfrm>
        <a:off x="1848103" y="2099316"/>
        <a:ext cx="100685" cy="100685"/>
      </dsp:txXfrm>
    </dsp:sp>
    <dsp:sp modelId="{0A4BC44A-EA78-433E-B105-317042C078EE}">
      <dsp:nvSpPr>
        <dsp:cNvPr id="0" name=""/>
        <dsp:cNvSpPr/>
      </dsp:nvSpPr>
      <dsp:spPr>
        <a:xfrm>
          <a:off x="1026703" y="1645847"/>
          <a:ext cx="1726030" cy="619730"/>
        </a:xfrm>
        <a:custGeom>
          <a:avLst/>
          <a:gdLst/>
          <a:ahLst/>
          <a:cxnLst/>
          <a:rect l="0" t="0" r="0" b="0"/>
          <a:pathLst>
            <a:path>
              <a:moveTo>
                <a:pt x="0" y="0"/>
              </a:moveTo>
              <a:lnTo>
                <a:pt x="863015" y="0"/>
              </a:lnTo>
              <a:lnTo>
                <a:pt x="863015" y="619730"/>
              </a:lnTo>
              <a:lnTo>
                <a:pt x="1726030" y="61973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US" sz="600" kern="1200"/>
        </a:p>
      </dsp:txBody>
      <dsp:txXfrm>
        <a:off x="1843870" y="1909865"/>
        <a:ext cx="91695" cy="91695"/>
      </dsp:txXfrm>
    </dsp:sp>
    <dsp:sp modelId="{395026F2-2210-49D8-B2F3-43FB870631F9}">
      <dsp:nvSpPr>
        <dsp:cNvPr id="0" name=""/>
        <dsp:cNvSpPr/>
      </dsp:nvSpPr>
      <dsp:spPr>
        <a:xfrm>
          <a:off x="1026703" y="1645847"/>
          <a:ext cx="1743485" cy="212793"/>
        </a:xfrm>
        <a:custGeom>
          <a:avLst/>
          <a:gdLst/>
          <a:ahLst/>
          <a:cxnLst/>
          <a:rect l="0" t="0" r="0" b="0"/>
          <a:pathLst>
            <a:path>
              <a:moveTo>
                <a:pt x="0" y="0"/>
              </a:moveTo>
              <a:lnTo>
                <a:pt x="871742" y="0"/>
              </a:lnTo>
              <a:lnTo>
                <a:pt x="871742" y="212793"/>
              </a:lnTo>
              <a:lnTo>
                <a:pt x="1743485" y="21279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US" sz="600" kern="1200"/>
        </a:p>
      </dsp:txBody>
      <dsp:txXfrm>
        <a:off x="1854535" y="1708334"/>
        <a:ext cx="87821" cy="87821"/>
      </dsp:txXfrm>
    </dsp:sp>
    <dsp:sp modelId="{D7F268BE-F358-4EAB-9F80-F7A0104C6913}">
      <dsp:nvSpPr>
        <dsp:cNvPr id="0" name=""/>
        <dsp:cNvSpPr/>
      </dsp:nvSpPr>
      <dsp:spPr>
        <a:xfrm>
          <a:off x="1026703" y="1452601"/>
          <a:ext cx="1743485" cy="193246"/>
        </a:xfrm>
        <a:custGeom>
          <a:avLst/>
          <a:gdLst/>
          <a:ahLst/>
          <a:cxnLst/>
          <a:rect l="0" t="0" r="0" b="0"/>
          <a:pathLst>
            <a:path>
              <a:moveTo>
                <a:pt x="0" y="193246"/>
              </a:moveTo>
              <a:lnTo>
                <a:pt x="871742" y="193246"/>
              </a:lnTo>
              <a:lnTo>
                <a:pt x="871742" y="0"/>
              </a:lnTo>
              <a:lnTo>
                <a:pt x="1743485"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US" sz="600" kern="1200"/>
        </a:p>
      </dsp:txBody>
      <dsp:txXfrm>
        <a:off x="1854592" y="1505370"/>
        <a:ext cx="87708" cy="87708"/>
      </dsp:txXfrm>
    </dsp:sp>
    <dsp:sp modelId="{9235ACEC-5732-45F7-87FA-A62C6EC0CD73}">
      <dsp:nvSpPr>
        <dsp:cNvPr id="0" name=""/>
        <dsp:cNvSpPr/>
      </dsp:nvSpPr>
      <dsp:spPr>
        <a:xfrm>
          <a:off x="1026703" y="1082314"/>
          <a:ext cx="1748236" cy="563533"/>
        </a:xfrm>
        <a:custGeom>
          <a:avLst/>
          <a:gdLst/>
          <a:ahLst/>
          <a:cxnLst/>
          <a:rect l="0" t="0" r="0" b="0"/>
          <a:pathLst>
            <a:path>
              <a:moveTo>
                <a:pt x="0" y="563533"/>
              </a:moveTo>
              <a:lnTo>
                <a:pt x="874118" y="563533"/>
              </a:lnTo>
              <a:lnTo>
                <a:pt x="874118" y="0"/>
              </a:lnTo>
              <a:lnTo>
                <a:pt x="1748236"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US" sz="600" kern="1200"/>
        </a:p>
      </dsp:txBody>
      <dsp:txXfrm>
        <a:off x="1854901" y="1318160"/>
        <a:ext cx="91840" cy="91840"/>
      </dsp:txXfrm>
    </dsp:sp>
    <dsp:sp modelId="{80105809-0874-466F-A349-4943DBDDDC10}">
      <dsp:nvSpPr>
        <dsp:cNvPr id="0" name=""/>
        <dsp:cNvSpPr/>
      </dsp:nvSpPr>
      <dsp:spPr>
        <a:xfrm>
          <a:off x="1026703" y="661228"/>
          <a:ext cx="1743485" cy="984619"/>
        </a:xfrm>
        <a:custGeom>
          <a:avLst/>
          <a:gdLst/>
          <a:ahLst/>
          <a:cxnLst/>
          <a:rect l="0" t="0" r="0" b="0"/>
          <a:pathLst>
            <a:path>
              <a:moveTo>
                <a:pt x="0" y="984619"/>
              </a:moveTo>
              <a:lnTo>
                <a:pt x="871742" y="984619"/>
              </a:lnTo>
              <a:lnTo>
                <a:pt x="871742" y="0"/>
              </a:lnTo>
              <a:lnTo>
                <a:pt x="1743485"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en-US" sz="700" kern="1200"/>
        </a:p>
      </dsp:txBody>
      <dsp:txXfrm>
        <a:off x="1848388" y="1103480"/>
        <a:ext cx="100115" cy="100115"/>
      </dsp:txXfrm>
    </dsp:sp>
    <dsp:sp modelId="{7E0F4144-F534-4E25-A050-60B931936FDC}">
      <dsp:nvSpPr>
        <dsp:cNvPr id="0" name=""/>
        <dsp:cNvSpPr/>
      </dsp:nvSpPr>
      <dsp:spPr>
        <a:xfrm>
          <a:off x="0" y="1265610"/>
          <a:ext cx="1292931" cy="760475"/>
        </a:xfrm>
        <a:prstGeom prst="rect">
          <a:avLst/>
        </a:prstGeom>
        <a:solidFill>
          <a:schemeClr val="accent6"/>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t>Retention Metrics</a:t>
          </a:r>
        </a:p>
      </dsp:txBody>
      <dsp:txXfrm>
        <a:off x="0" y="1265610"/>
        <a:ext cx="1292931" cy="760475"/>
      </dsp:txXfrm>
    </dsp:sp>
    <dsp:sp modelId="{3B552645-015F-450C-B0DF-98A4E6D3DF42}">
      <dsp:nvSpPr>
        <dsp:cNvPr id="0" name=""/>
        <dsp:cNvSpPr/>
      </dsp:nvSpPr>
      <dsp:spPr>
        <a:xfrm>
          <a:off x="2770189" y="536932"/>
          <a:ext cx="1210781" cy="248591"/>
        </a:xfrm>
        <a:prstGeom prst="rect">
          <a:avLst/>
        </a:prstGeom>
        <a:solidFill>
          <a:schemeClr val="accent1">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Client Demographic</a:t>
          </a:r>
        </a:p>
      </dsp:txBody>
      <dsp:txXfrm>
        <a:off x="2770189" y="536932"/>
        <a:ext cx="1210781" cy="248591"/>
      </dsp:txXfrm>
    </dsp:sp>
    <dsp:sp modelId="{5791D111-47E0-42B3-864E-29FE14CB974B}">
      <dsp:nvSpPr>
        <dsp:cNvPr id="0" name=""/>
        <dsp:cNvSpPr/>
      </dsp:nvSpPr>
      <dsp:spPr>
        <a:xfrm>
          <a:off x="2774940" y="968372"/>
          <a:ext cx="1191776" cy="227884"/>
        </a:xfrm>
        <a:prstGeom prst="rect">
          <a:avLst/>
        </a:prstGeom>
        <a:solidFill>
          <a:schemeClr val="accent1">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Cohort Year</a:t>
          </a:r>
        </a:p>
      </dsp:txBody>
      <dsp:txXfrm>
        <a:off x="2774940" y="968372"/>
        <a:ext cx="1191776" cy="227884"/>
      </dsp:txXfrm>
    </dsp:sp>
    <dsp:sp modelId="{D096A9BD-6438-49CB-9D7E-691A2387FAEC}">
      <dsp:nvSpPr>
        <dsp:cNvPr id="0" name=""/>
        <dsp:cNvSpPr/>
      </dsp:nvSpPr>
      <dsp:spPr>
        <a:xfrm>
          <a:off x="2770189" y="1328305"/>
          <a:ext cx="1210781" cy="248591"/>
        </a:xfrm>
        <a:prstGeom prst="rect">
          <a:avLst/>
        </a:prstGeom>
        <a:solidFill>
          <a:schemeClr val="accent1">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Districts</a:t>
          </a:r>
        </a:p>
      </dsp:txBody>
      <dsp:txXfrm>
        <a:off x="2770189" y="1328305"/>
        <a:ext cx="1210781" cy="248591"/>
      </dsp:txXfrm>
    </dsp:sp>
    <dsp:sp modelId="{CA9EF144-0405-4902-90FD-3E71C9543CF8}">
      <dsp:nvSpPr>
        <dsp:cNvPr id="0" name=""/>
        <dsp:cNvSpPr/>
      </dsp:nvSpPr>
      <dsp:spPr>
        <a:xfrm>
          <a:off x="2770189" y="1734345"/>
          <a:ext cx="1210781" cy="248591"/>
        </a:xfrm>
        <a:prstGeom prst="rect">
          <a:avLst/>
        </a:prstGeom>
        <a:solidFill>
          <a:schemeClr val="accent1">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Program</a:t>
          </a:r>
        </a:p>
      </dsp:txBody>
      <dsp:txXfrm>
        <a:off x="2770189" y="1734345"/>
        <a:ext cx="1210781" cy="248591"/>
      </dsp:txXfrm>
    </dsp:sp>
    <dsp:sp modelId="{95380E36-156B-4042-B964-CB5AE76B6E60}">
      <dsp:nvSpPr>
        <dsp:cNvPr id="0" name=""/>
        <dsp:cNvSpPr/>
      </dsp:nvSpPr>
      <dsp:spPr>
        <a:xfrm>
          <a:off x="2752733" y="2149907"/>
          <a:ext cx="1221233" cy="231341"/>
        </a:xfrm>
        <a:prstGeom prst="rect">
          <a:avLst/>
        </a:prstGeom>
        <a:solidFill>
          <a:schemeClr val="accent1">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Program Types</a:t>
          </a:r>
        </a:p>
      </dsp:txBody>
      <dsp:txXfrm>
        <a:off x="2752733" y="2149907"/>
        <a:ext cx="1221233" cy="231341"/>
      </dsp:txXfrm>
    </dsp:sp>
    <dsp:sp modelId="{FEA6E2CD-38F9-4769-AB0A-B366026F122F}">
      <dsp:nvSpPr>
        <dsp:cNvPr id="0" name=""/>
        <dsp:cNvSpPr/>
      </dsp:nvSpPr>
      <dsp:spPr>
        <a:xfrm>
          <a:off x="2770189" y="2529175"/>
          <a:ext cx="1210781" cy="248591"/>
        </a:xfrm>
        <a:prstGeom prst="rect">
          <a:avLst/>
        </a:prstGeom>
        <a:solidFill>
          <a:schemeClr val="accent1">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Report Year</a:t>
          </a:r>
        </a:p>
      </dsp:txBody>
      <dsp:txXfrm>
        <a:off x="2770189" y="2529175"/>
        <a:ext cx="1210781" cy="248591"/>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DB1BE-5E7E-4DD6-A11C-CA4E1A518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11</Pages>
  <Words>2281</Words>
  <Characters>13007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Konruff, Ben</dc:creator>
  <cp:keywords/>
  <dc:description/>
  <cp:lastModifiedBy>Konruff, Ben</cp:lastModifiedBy>
  <cp:revision>7</cp:revision>
  <dcterms:created xsi:type="dcterms:W3CDTF">2016-03-18T15:11:00Z</dcterms:created>
  <dcterms:modified xsi:type="dcterms:W3CDTF">2016-09-01T15:53:00Z</dcterms:modified>
</cp:coreProperties>
</file>