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19" w:rsidRDefault="00573675" w:rsidP="00573675">
      <w:pPr>
        <w:jc w:val="center"/>
        <w:rPr>
          <w:b/>
          <w:sz w:val="28"/>
          <w:szCs w:val="28"/>
        </w:rPr>
      </w:pPr>
      <w:r>
        <w:rPr>
          <w:b/>
          <w:sz w:val="28"/>
          <w:szCs w:val="28"/>
        </w:rPr>
        <w:t>WTCS QRP Cube User’s Guide</w:t>
      </w:r>
      <w:r>
        <w:rPr>
          <w:b/>
          <w:sz w:val="28"/>
          <w:szCs w:val="28"/>
        </w:rPr>
        <w:br/>
      </w:r>
      <w:r w:rsidR="00214619" w:rsidRPr="00573675">
        <w:rPr>
          <w:b/>
          <w:sz w:val="28"/>
          <w:szCs w:val="28"/>
        </w:rPr>
        <w:t xml:space="preserve">QRP – Indicator </w:t>
      </w:r>
      <w:r w:rsidR="00F023CF">
        <w:rPr>
          <w:b/>
          <w:sz w:val="28"/>
          <w:szCs w:val="28"/>
        </w:rPr>
        <w:t>#</w:t>
      </w:r>
      <w:r w:rsidR="00C27360">
        <w:rPr>
          <w:b/>
          <w:sz w:val="28"/>
          <w:szCs w:val="28"/>
        </w:rPr>
        <w:t>4</w:t>
      </w:r>
      <w:r w:rsidR="004A43F8">
        <w:rPr>
          <w:b/>
          <w:sz w:val="28"/>
          <w:szCs w:val="28"/>
        </w:rPr>
        <w:t xml:space="preserve"> </w:t>
      </w:r>
      <w:r w:rsidR="00C27360">
        <w:rPr>
          <w:b/>
          <w:sz w:val="28"/>
          <w:szCs w:val="28"/>
        </w:rPr>
        <w:t>Transfer</w:t>
      </w:r>
    </w:p>
    <w:sdt>
      <w:sdtPr>
        <w:rPr>
          <w:rFonts w:asciiTheme="minorHAnsi" w:eastAsiaTheme="minorHAnsi" w:hAnsiTheme="minorHAnsi" w:cstheme="minorBidi"/>
          <w:color w:val="auto"/>
          <w:sz w:val="22"/>
          <w:szCs w:val="22"/>
        </w:rPr>
        <w:id w:val="1366942640"/>
        <w:docPartObj>
          <w:docPartGallery w:val="Table of Contents"/>
          <w:docPartUnique/>
        </w:docPartObj>
      </w:sdtPr>
      <w:sdtEndPr>
        <w:rPr>
          <w:b/>
          <w:bCs/>
          <w:noProof/>
        </w:rPr>
      </w:sdtEndPr>
      <w:sdtContent>
        <w:p w:rsidR="00573675" w:rsidRDefault="00573675">
          <w:pPr>
            <w:pStyle w:val="TOCHeading"/>
          </w:pPr>
          <w:r>
            <w:t>Contents</w:t>
          </w:r>
        </w:p>
        <w:p w:rsidR="006A10D2" w:rsidRDefault="00573675">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0593258" w:history="1">
            <w:r w:rsidR="006A10D2" w:rsidRPr="007D1EBD">
              <w:rPr>
                <w:rStyle w:val="Hyperlink"/>
                <w:b/>
                <w:i/>
                <w:noProof/>
              </w:rPr>
              <w:t>Overview:</w:t>
            </w:r>
            <w:r w:rsidR="006A10D2">
              <w:rPr>
                <w:noProof/>
                <w:webHidden/>
              </w:rPr>
              <w:tab/>
            </w:r>
            <w:r w:rsidR="006A10D2">
              <w:rPr>
                <w:noProof/>
                <w:webHidden/>
              </w:rPr>
              <w:fldChar w:fldCharType="begin"/>
            </w:r>
            <w:r w:rsidR="006A10D2">
              <w:rPr>
                <w:noProof/>
                <w:webHidden/>
              </w:rPr>
              <w:instrText xml:space="preserve"> PAGEREF _Toc460593258 \h </w:instrText>
            </w:r>
            <w:r w:rsidR="006A10D2">
              <w:rPr>
                <w:noProof/>
                <w:webHidden/>
              </w:rPr>
            </w:r>
            <w:r w:rsidR="006A10D2">
              <w:rPr>
                <w:noProof/>
                <w:webHidden/>
              </w:rPr>
              <w:fldChar w:fldCharType="separate"/>
            </w:r>
            <w:r w:rsidR="006A10D2">
              <w:rPr>
                <w:noProof/>
                <w:webHidden/>
              </w:rPr>
              <w:t>1</w:t>
            </w:r>
            <w:r w:rsidR="006A10D2">
              <w:rPr>
                <w:noProof/>
                <w:webHidden/>
              </w:rPr>
              <w:fldChar w:fldCharType="end"/>
            </w:r>
          </w:hyperlink>
        </w:p>
        <w:p w:rsidR="006A10D2" w:rsidRDefault="00502844">
          <w:pPr>
            <w:pStyle w:val="TOC1"/>
            <w:tabs>
              <w:tab w:val="right" w:leader="dot" w:pos="9350"/>
            </w:tabs>
            <w:rPr>
              <w:rFonts w:eastAsiaTheme="minorEastAsia"/>
              <w:noProof/>
            </w:rPr>
          </w:pPr>
          <w:hyperlink w:anchor="_Toc460593259" w:history="1">
            <w:r w:rsidR="006A10D2" w:rsidRPr="007D1EBD">
              <w:rPr>
                <w:rStyle w:val="Hyperlink"/>
                <w:b/>
                <w:i/>
                <w:noProof/>
              </w:rPr>
              <w:t>Cube Measure Group &amp; Dimension Groups:</w:t>
            </w:r>
            <w:r w:rsidR="006A10D2">
              <w:rPr>
                <w:noProof/>
                <w:webHidden/>
              </w:rPr>
              <w:tab/>
            </w:r>
            <w:r w:rsidR="006A10D2">
              <w:rPr>
                <w:noProof/>
                <w:webHidden/>
              </w:rPr>
              <w:fldChar w:fldCharType="begin"/>
            </w:r>
            <w:r w:rsidR="006A10D2">
              <w:rPr>
                <w:noProof/>
                <w:webHidden/>
              </w:rPr>
              <w:instrText xml:space="preserve"> PAGEREF _Toc460593259 \h </w:instrText>
            </w:r>
            <w:r w:rsidR="006A10D2">
              <w:rPr>
                <w:noProof/>
                <w:webHidden/>
              </w:rPr>
            </w:r>
            <w:r w:rsidR="006A10D2">
              <w:rPr>
                <w:noProof/>
                <w:webHidden/>
              </w:rPr>
              <w:fldChar w:fldCharType="separate"/>
            </w:r>
            <w:r w:rsidR="006A10D2">
              <w:rPr>
                <w:noProof/>
                <w:webHidden/>
              </w:rPr>
              <w:t>1</w:t>
            </w:r>
            <w:r w:rsidR="006A10D2">
              <w:rPr>
                <w:noProof/>
                <w:webHidden/>
              </w:rPr>
              <w:fldChar w:fldCharType="end"/>
            </w:r>
          </w:hyperlink>
        </w:p>
        <w:p w:rsidR="006A10D2" w:rsidRDefault="00502844">
          <w:pPr>
            <w:pStyle w:val="TOC1"/>
            <w:tabs>
              <w:tab w:val="right" w:leader="dot" w:pos="9350"/>
            </w:tabs>
            <w:rPr>
              <w:rFonts w:eastAsiaTheme="minorEastAsia"/>
              <w:noProof/>
            </w:rPr>
          </w:pPr>
          <w:hyperlink w:anchor="_Toc460593260" w:history="1">
            <w:r w:rsidR="006A10D2" w:rsidRPr="007D1EBD">
              <w:rPr>
                <w:rStyle w:val="Hyperlink"/>
                <w:b/>
                <w:i/>
                <w:noProof/>
              </w:rPr>
              <w:t>Cube Combination Examples:</w:t>
            </w:r>
            <w:r w:rsidR="006A10D2">
              <w:rPr>
                <w:noProof/>
                <w:webHidden/>
              </w:rPr>
              <w:tab/>
            </w:r>
            <w:r w:rsidR="006A10D2">
              <w:rPr>
                <w:noProof/>
                <w:webHidden/>
              </w:rPr>
              <w:fldChar w:fldCharType="begin"/>
            </w:r>
            <w:r w:rsidR="006A10D2">
              <w:rPr>
                <w:noProof/>
                <w:webHidden/>
              </w:rPr>
              <w:instrText xml:space="preserve"> PAGEREF _Toc460593260 \h </w:instrText>
            </w:r>
            <w:r w:rsidR="006A10D2">
              <w:rPr>
                <w:noProof/>
                <w:webHidden/>
              </w:rPr>
            </w:r>
            <w:r w:rsidR="006A10D2">
              <w:rPr>
                <w:noProof/>
                <w:webHidden/>
              </w:rPr>
              <w:fldChar w:fldCharType="separate"/>
            </w:r>
            <w:r w:rsidR="006A10D2">
              <w:rPr>
                <w:noProof/>
                <w:webHidden/>
              </w:rPr>
              <w:t>6</w:t>
            </w:r>
            <w:r w:rsidR="006A10D2">
              <w:rPr>
                <w:noProof/>
                <w:webHidden/>
              </w:rPr>
              <w:fldChar w:fldCharType="end"/>
            </w:r>
          </w:hyperlink>
        </w:p>
        <w:p w:rsidR="006A10D2" w:rsidRDefault="00502844">
          <w:pPr>
            <w:pStyle w:val="TOC1"/>
            <w:tabs>
              <w:tab w:val="right" w:leader="dot" w:pos="9350"/>
            </w:tabs>
            <w:rPr>
              <w:rFonts w:eastAsiaTheme="minorEastAsia"/>
              <w:noProof/>
            </w:rPr>
          </w:pPr>
          <w:hyperlink w:anchor="_Toc460593261" w:history="1">
            <w:r w:rsidR="006A10D2" w:rsidRPr="007D1EBD">
              <w:rPr>
                <w:rStyle w:val="Hyperlink"/>
                <w:b/>
                <w:i/>
                <w:noProof/>
              </w:rPr>
              <w:t>Drill-Through Capabilities:</w:t>
            </w:r>
            <w:r w:rsidR="006A10D2">
              <w:rPr>
                <w:noProof/>
                <w:webHidden/>
              </w:rPr>
              <w:tab/>
            </w:r>
            <w:r w:rsidR="006A10D2">
              <w:rPr>
                <w:noProof/>
                <w:webHidden/>
              </w:rPr>
              <w:fldChar w:fldCharType="begin"/>
            </w:r>
            <w:r w:rsidR="006A10D2">
              <w:rPr>
                <w:noProof/>
                <w:webHidden/>
              </w:rPr>
              <w:instrText xml:space="preserve"> PAGEREF _Toc460593261 \h </w:instrText>
            </w:r>
            <w:r w:rsidR="006A10D2">
              <w:rPr>
                <w:noProof/>
                <w:webHidden/>
              </w:rPr>
            </w:r>
            <w:r w:rsidR="006A10D2">
              <w:rPr>
                <w:noProof/>
                <w:webHidden/>
              </w:rPr>
              <w:fldChar w:fldCharType="separate"/>
            </w:r>
            <w:r w:rsidR="006A10D2">
              <w:rPr>
                <w:noProof/>
                <w:webHidden/>
              </w:rPr>
              <w:t>8</w:t>
            </w:r>
            <w:r w:rsidR="006A10D2">
              <w:rPr>
                <w:noProof/>
                <w:webHidden/>
              </w:rPr>
              <w:fldChar w:fldCharType="end"/>
            </w:r>
          </w:hyperlink>
        </w:p>
        <w:p w:rsidR="00573675" w:rsidRDefault="00573675">
          <w:r>
            <w:rPr>
              <w:b/>
              <w:bCs/>
              <w:noProof/>
            </w:rPr>
            <w:fldChar w:fldCharType="end"/>
          </w:r>
        </w:p>
      </w:sdtContent>
    </w:sdt>
    <w:p w:rsidR="00573675" w:rsidRDefault="00573675" w:rsidP="00573675">
      <w:pPr>
        <w:pStyle w:val="Heading1"/>
      </w:pPr>
      <w:bookmarkStart w:id="0" w:name="_Toc460593258"/>
      <w:r>
        <w:rPr>
          <w:b/>
          <w:i/>
          <w:sz w:val="36"/>
          <w:szCs w:val="36"/>
        </w:rPr>
        <w:t>Overview</w:t>
      </w:r>
      <w:r w:rsidRPr="00CB40C3">
        <w:rPr>
          <w:b/>
          <w:i/>
          <w:sz w:val="36"/>
          <w:szCs w:val="36"/>
        </w:rPr>
        <w:t>:</w:t>
      </w:r>
      <w:bookmarkEnd w:id="0"/>
      <w:r w:rsidR="00245725">
        <w:tab/>
      </w:r>
    </w:p>
    <w:p w:rsidR="00214619" w:rsidRDefault="00245725" w:rsidP="00573675">
      <w:pPr>
        <w:ind w:firstLine="720"/>
        <w:rPr>
          <w:b/>
          <w:sz w:val="32"/>
          <w:szCs w:val="32"/>
        </w:rPr>
      </w:pPr>
      <w:r>
        <w:t xml:space="preserve">The </w:t>
      </w:r>
      <w:r w:rsidRPr="001A51F7">
        <w:rPr>
          <w:b/>
        </w:rPr>
        <w:t>QRP – Indicator #</w:t>
      </w:r>
      <w:r w:rsidR="00C27360">
        <w:rPr>
          <w:b/>
        </w:rPr>
        <w:t>4</w:t>
      </w:r>
      <w:r w:rsidRPr="001A51F7">
        <w:rPr>
          <w:b/>
        </w:rPr>
        <w:t xml:space="preserve"> </w:t>
      </w:r>
      <w:r w:rsidR="00C27360">
        <w:rPr>
          <w:b/>
        </w:rPr>
        <w:t>Transfer</w:t>
      </w:r>
      <w:r w:rsidRPr="001A51F7">
        <w:rPr>
          <w:b/>
        </w:rPr>
        <w:t xml:space="preserve"> Cube</w:t>
      </w:r>
      <w:r>
        <w:t xml:space="preserve"> includes a </w:t>
      </w:r>
      <w:r w:rsidR="00C27360">
        <w:rPr>
          <w:b/>
        </w:rPr>
        <w:t>Program Record/Transfer Record</w:t>
      </w:r>
      <w:r>
        <w:t xml:space="preserve"> measure group and </w:t>
      </w:r>
      <w:r w:rsidR="00C27360">
        <w:rPr>
          <w:b/>
        </w:rPr>
        <w:t>seven</w:t>
      </w:r>
      <w:r>
        <w:t xml:space="preserve"> dimension groups</w:t>
      </w:r>
      <w:r w:rsidR="001A51F7">
        <w:t xml:space="preserve">.  Dimensions </w:t>
      </w:r>
      <w:r w:rsidR="00F91542">
        <w:t>can</w:t>
      </w:r>
      <w:r w:rsidR="001A51F7">
        <w:t xml:space="preserve"> be used to uncover </w:t>
      </w:r>
      <w:proofErr w:type="gramStart"/>
      <w:r>
        <w:t>the who</w:t>
      </w:r>
      <w:proofErr w:type="gramEnd"/>
      <w:r>
        <w:t>, what, when, and where in an effort to answer</w:t>
      </w:r>
      <w:r w:rsidR="001A51F7">
        <w:t xml:space="preserve"> </w:t>
      </w:r>
      <w:r>
        <w:t>why</w:t>
      </w:r>
      <w:r w:rsidR="001A51F7">
        <w:t xml:space="preserve"> high or low </w:t>
      </w:r>
      <w:r w:rsidR="00C27360">
        <w:t>transfer</w:t>
      </w:r>
      <w:r w:rsidR="00F91542">
        <w:t xml:space="preserve"> rates exist</w:t>
      </w:r>
      <w:r w:rsidR="001A51F7">
        <w:t xml:space="preserve">.  </w:t>
      </w:r>
      <w:r w:rsidR="00F91542">
        <w:t>In essence, the</w:t>
      </w:r>
      <w:r w:rsidR="001A51F7">
        <w:t xml:space="preserve"> </w:t>
      </w:r>
      <w:r w:rsidR="00F91542">
        <w:t>C</w:t>
      </w:r>
      <w:r w:rsidR="001A51F7">
        <w:t>ube is meant to drive continuous improvement efforts by uncovering anomalies</w:t>
      </w:r>
      <w:r w:rsidR="00F91542">
        <w:t>,</w:t>
      </w:r>
      <w:r w:rsidR="001A51F7">
        <w:t xml:space="preserve"> and by providing actionable pieces of data.</w:t>
      </w:r>
      <w:r w:rsidR="000A4D34">
        <w:t xml:space="preserve"> </w:t>
      </w:r>
    </w:p>
    <w:p w:rsidR="00214619" w:rsidRPr="00CB40C3" w:rsidRDefault="00F91542" w:rsidP="00573675">
      <w:pPr>
        <w:pStyle w:val="Heading1"/>
        <w:rPr>
          <w:b/>
          <w:i/>
          <w:sz w:val="36"/>
          <w:szCs w:val="36"/>
        </w:rPr>
      </w:pPr>
      <w:bookmarkStart w:id="1" w:name="_Toc460593259"/>
      <w:r w:rsidRPr="00CB40C3">
        <w:rPr>
          <w:b/>
          <w:i/>
          <w:sz w:val="36"/>
          <w:szCs w:val="36"/>
        </w:rPr>
        <w:t>Cube Measure Group &amp; Dimension Groups:</w:t>
      </w:r>
      <w:bookmarkEnd w:id="1"/>
    </w:p>
    <w:p w:rsidR="00214619" w:rsidRDefault="00F91542" w:rsidP="00F91542">
      <w:pPr>
        <w:jc w:val="center"/>
        <w:rPr>
          <w:b/>
          <w:sz w:val="32"/>
          <w:szCs w:val="32"/>
        </w:rPr>
      </w:pPr>
      <w:r>
        <w:rPr>
          <w:b/>
          <w:noProof/>
          <w:sz w:val="32"/>
          <w:szCs w:val="32"/>
        </w:rPr>
        <w:drawing>
          <wp:inline distT="0" distB="0" distL="0" distR="0">
            <wp:extent cx="4810125" cy="3314700"/>
            <wp:effectExtent l="38100" t="0" r="0" b="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46C9A" w:rsidRDefault="00F46C9A">
      <w:pPr>
        <w:rPr>
          <w:b/>
          <w:sz w:val="28"/>
          <w:szCs w:val="28"/>
          <w:u w:val="single"/>
        </w:rPr>
      </w:pPr>
    </w:p>
    <w:p w:rsidR="00496FC5" w:rsidRDefault="00496FC5">
      <w:pPr>
        <w:rPr>
          <w:b/>
          <w:sz w:val="28"/>
          <w:szCs w:val="28"/>
          <w:u w:val="single"/>
        </w:rPr>
      </w:pPr>
    </w:p>
    <w:p w:rsidR="00496FC5" w:rsidRDefault="00496FC5">
      <w:pPr>
        <w:rPr>
          <w:b/>
          <w:sz w:val="28"/>
          <w:szCs w:val="28"/>
          <w:u w:val="single"/>
        </w:rPr>
      </w:pPr>
    </w:p>
    <w:p w:rsidR="00F23E10" w:rsidRPr="00F23E10" w:rsidRDefault="00F23E10">
      <w:pPr>
        <w:rPr>
          <w:b/>
          <w:sz w:val="28"/>
          <w:szCs w:val="28"/>
        </w:rPr>
      </w:pPr>
      <w:r w:rsidRPr="00F91542">
        <w:rPr>
          <w:b/>
          <w:sz w:val="28"/>
          <w:szCs w:val="28"/>
          <w:u w:val="single"/>
        </w:rPr>
        <w:lastRenderedPageBreak/>
        <w:t>Measure Group</w:t>
      </w:r>
      <w:r w:rsidRPr="00F23E10">
        <w:rPr>
          <w:b/>
          <w:sz w:val="28"/>
          <w:szCs w:val="28"/>
        </w:rPr>
        <w:t>:</w:t>
      </w:r>
    </w:p>
    <w:p w:rsidR="008308AC" w:rsidRDefault="006A296B">
      <w:r>
        <w:rPr>
          <w:b/>
        </w:rPr>
        <w:t>Program Record</w:t>
      </w:r>
      <w:r w:rsidR="00353E48">
        <w:t xml:space="preserve"> –</w:t>
      </w:r>
      <w:r w:rsidR="00F46C9A">
        <w:t xml:space="preserve"> </w:t>
      </w:r>
      <w:r>
        <w:t>The program record information is sourced to the Client Reporting System with program enrollments reported on the S9 record</w:t>
      </w:r>
      <w:r w:rsidR="008308AC">
        <w:t>.</w:t>
      </w:r>
    </w:p>
    <w:p w:rsidR="006A296B" w:rsidRDefault="006A296B" w:rsidP="008308AC">
      <w:r w:rsidRPr="006A296B">
        <w:rPr>
          <w:b/>
        </w:rPr>
        <w:t>Transfer Record Measures</w:t>
      </w:r>
      <w:r>
        <w:t xml:space="preserve"> - </w:t>
      </w:r>
      <w:r w:rsidR="00051860">
        <w:t xml:space="preserve">Transfer is identified through record matching in the National Student Clearinghouse System.  </w:t>
      </w:r>
    </w:p>
    <w:p w:rsidR="00BC120F" w:rsidRDefault="00051860" w:rsidP="008308AC">
      <w:pPr>
        <w:rPr>
          <w:b/>
        </w:rPr>
      </w:pPr>
      <w:r w:rsidRPr="00D47C5C">
        <w:rPr>
          <w:b/>
        </w:rPr>
        <w:t xml:space="preserve">It is important to consider that </w:t>
      </w:r>
      <w:r w:rsidR="006A296B">
        <w:rPr>
          <w:b/>
        </w:rPr>
        <w:t>transfer</w:t>
      </w:r>
      <w:r w:rsidRPr="00D47C5C">
        <w:rPr>
          <w:b/>
        </w:rPr>
        <w:t xml:space="preserve"> is longitudinal in nature.  </w:t>
      </w:r>
      <w:r w:rsidR="006A296B">
        <w:rPr>
          <w:b/>
        </w:rPr>
        <w:t>T</w:t>
      </w:r>
      <w:r w:rsidRPr="00D47C5C">
        <w:rPr>
          <w:b/>
        </w:rPr>
        <w:t xml:space="preserve">he National Student Clearinghouse data is not final until the fall of the </w:t>
      </w:r>
      <w:r w:rsidR="00D47C5C">
        <w:rPr>
          <w:b/>
        </w:rPr>
        <w:t xml:space="preserve">next </w:t>
      </w:r>
      <w:r w:rsidRPr="00D47C5C">
        <w:rPr>
          <w:b/>
        </w:rPr>
        <w:t xml:space="preserve">calendar year after </w:t>
      </w:r>
      <w:r w:rsidR="006A296B">
        <w:rPr>
          <w:b/>
        </w:rPr>
        <w:t>the fiscal year Client has closed</w:t>
      </w:r>
      <w:r w:rsidRPr="00D47C5C">
        <w:rPr>
          <w:b/>
        </w:rPr>
        <w:t xml:space="preserve">.  </w:t>
      </w:r>
    </w:p>
    <w:p w:rsidR="00D47C5C" w:rsidRDefault="00D47C5C" w:rsidP="008308AC">
      <w:pPr>
        <w:rPr>
          <w:b/>
        </w:rPr>
      </w:pPr>
      <w:r>
        <w:rPr>
          <w:b/>
        </w:rPr>
        <w:t xml:space="preserve">Example: I want to assess the </w:t>
      </w:r>
      <w:r w:rsidR="006A296B">
        <w:rPr>
          <w:b/>
        </w:rPr>
        <w:t xml:space="preserve">fiscal year </w:t>
      </w:r>
      <w:r>
        <w:rPr>
          <w:b/>
        </w:rPr>
        <w:t xml:space="preserve">2014 </w:t>
      </w:r>
      <w:r w:rsidR="006A296B">
        <w:rPr>
          <w:b/>
        </w:rPr>
        <w:t>program graduates</w:t>
      </w:r>
      <w:r>
        <w:rPr>
          <w:b/>
        </w:rPr>
        <w:t>.  To assess if the completers transferred to a non-WTCS institution, I will need to wait until fall of the 2015 calendar year when National Student Clearinghouse data is available.</w:t>
      </w:r>
    </w:p>
    <w:p w:rsidR="00F23E10" w:rsidRPr="00F23E10" w:rsidRDefault="00F23E10">
      <w:pPr>
        <w:rPr>
          <w:b/>
          <w:sz w:val="28"/>
          <w:szCs w:val="28"/>
        </w:rPr>
      </w:pPr>
      <w:r w:rsidRPr="00F23E10">
        <w:rPr>
          <w:b/>
          <w:sz w:val="28"/>
          <w:szCs w:val="28"/>
        </w:rPr>
        <w:t>Measures:</w:t>
      </w:r>
    </w:p>
    <w:p w:rsidR="00E47FE6" w:rsidRDefault="006A296B">
      <w:r>
        <w:rPr>
          <w:b/>
        </w:rPr>
        <w:t>Program Student Count</w:t>
      </w:r>
      <w:r w:rsidR="00E47FE6">
        <w:t xml:space="preserve"> – the </w:t>
      </w:r>
      <w:r>
        <w:t>un</w:t>
      </w:r>
      <w:r w:rsidR="008B12CD">
        <w:t>duplicated</w:t>
      </w:r>
      <w:r w:rsidR="00E47FE6">
        <w:t xml:space="preserve"> count of </w:t>
      </w:r>
      <w:r>
        <w:t>program students</w:t>
      </w:r>
    </w:p>
    <w:p w:rsidR="00E47FE6" w:rsidRDefault="006A296B">
      <w:r>
        <w:rPr>
          <w:b/>
        </w:rPr>
        <w:t>Transfer Student Count</w:t>
      </w:r>
      <w:r w:rsidR="00BC120F">
        <w:t xml:space="preserve"> </w:t>
      </w:r>
      <w:r w:rsidR="00E47FE6">
        <w:t xml:space="preserve">– </w:t>
      </w:r>
      <w:r w:rsidR="00BC120F">
        <w:t xml:space="preserve">the </w:t>
      </w:r>
      <w:r>
        <w:t>un</w:t>
      </w:r>
      <w:r w:rsidR="008B12CD">
        <w:t xml:space="preserve">duplicated count of </w:t>
      </w:r>
      <w:r>
        <w:t xml:space="preserve">program students who transfer to a non-WTCS 2-year or 4-year institution the year after </w:t>
      </w:r>
      <w:r w:rsidR="00502844">
        <w:t xml:space="preserve">reported </w:t>
      </w:r>
      <w:r w:rsidR="00502844">
        <w:t>program enrollment if the program enrollee did not graduate</w:t>
      </w:r>
      <w:r w:rsidR="00502844">
        <w:t xml:space="preserve"> OR the year after reported graduation/completion</w:t>
      </w:r>
      <w:r>
        <w:t>; example – 2014 fiscal year completers who have a transfer record from January 1, 2014 to December 31, 2014 or January 1, 2015 to June 30, 2015</w:t>
      </w:r>
    </w:p>
    <w:p w:rsidR="006A296B" w:rsidRDefault="006A296B" w:rsidP="00F23E10">
      <w:pPr>
        <w:rPr>
          <w:b/>
          <w:sz w:val="28"/>
          <w:szCs w:val="28"/>
          <w:u w:val="single"/>
        </w:rPr>
      </w:pPr>
      <w:r>
        <w:rPr>
          <w:b/>
        </w:rPr>
        <w:t>% Transfer</w:t>
      </w:r>
      <w:r w:rsidR="00C81D66">
        <w:t xml:space="preserve"> </w:t>
      </w:r>
      <w:r w:rsidR="00E47FE6">
        <w:t xml:space="preserve">– </w:t>
      </w:r>
      <w:r>
        <w:t>the quotient of “</w:t>
      </w:r>
      <w:r>
        <w:rPr>
          <w:b/>
        </w:rPr>
        <w:t>Transfer Student Count”</w:t>
      </w:r>
      <w:r>
        <w:t xml:space="preserve"> and “</w:t>
      </w:r>
      <w:bookmarkStart w:id="2" w:name="_GoBack"/>
      <w:bookmarkEnd w:id="2"/>
      <w:r>
        <w:rPr>
          <w:b/>
        </w:rPr>
        <w:t>Program Student Count</w:t>
      </w:r>
      <w:r>
        <w:t>”</w:t>
      </w:r>
    </w:p>
    <w:p w:rsidR="00F23E10" w:rsidRPr="00F23E10" w:rsidRDefault="00F23E10" w:rsidP="00F23E10">
      <w:pPr>
        <w:rPr>
          <w:b/>
          <w:sz w:val="28"/>
          <w:szCs w:val="28"/>
        </w:rPr>
      </w:pPr>
      <w:r w:rsidRPr="00F91542">
        <w:rPr>
          <w:b/>
          <w:sz w:val="28"/>
          <w:szCs w:val="28"/>
          <w:u w:val="single"/>
        </w:rPr>
        <w:t>Dimension Group</w:t>
      </w:r>
      <w:r w:rsidRPr="00F23E10">
        <w:rPr>
          <w:b/>
          <w:sz w:val="28"/>
          <w:szCs w:val="28"/>
        </w:rPr>
        <w:t>:</w:t>
      </w:r>
    </w:p>
    <w:p w:rsidR="00F23E10" w:rsidRDefault="00353E48" w:rsidP="00E47FE6">
      <w:r>
        <w:rPr>
          <w:b/>
        </w:rPr>
        <w:t>Client Demographic</w:t>
      </w:r>
      <w:r>
        <w:t xml:space="preserve"> – data is sourced to the WTCS Client Reporting System</w:t>
      </w:r>
    </w:p>
    <w:p w:rsidR="00353E48" w:rsidRDefault="00353E48" w:rsidP="00353E48">
      <w:pPr>
        <w:rPr>
          <w:b/>
          <w:sz w:val="28"/>
          <w:szCs w:val="28"/>
        </w:rPr>
      </w:pPr>
      <w:r>
        <w:rPr>
          <w:b/>
          <w:sz w:val="28"/>
          <w:szCs w:val="28"/>
        </w:rPr>
        <w:t>Dimensions</w:t>
      </w:r>
      <w:r w:rsidRPr="00F23E10">
        <w:rPr>
          <w:b/>
          <w:sz w:val="28"/>
          <w:szCs w:val="28"/>
        </w:rPr>
        <w:t>:</w:t>
      </w:r>
    </w:p>
    <w:p w:rsidR="00C3444E" w:rsidRDefault="00353E48" w:rsidP="00C3444E">
      <w:r>
        <w:rPr>
          <w:b/>
        </w:rPr>
        <w:t>Academically Disadvantaged</w:t>
      </w:r>
      <w:r>
        <w:t xml:space="preserve"> – reference definitions in the </w:t>
      </w:r>
      <w:hyperlink r:id="rId13" w:history="1">
        <w:r w:rsidRPr="00BA63A2">
          <w:rPr>
            <w:rStyle w:val="Hyperlink"/>
          </w:rPr>
          <w:t>Client Reporting System Manual</w:t>
        </w:r>
      </w:hyperlink>
      <w:r w:rsidR="00C3444E">
        <w:t>; based on Academically Disadvantaged field</w:t>
      </w:r>
    </w:p>
    <w:p w:rsidR="00E943D2" w:rsidRDefault="00E943D2" w:rsidP="00E943D2">
      <w:r>
        <w:rPr>
          <w:b/>
        </w:rPr>
        <w:t>Age Group</w:t>
      </w:r>
      <w:r>
        <w:t xml:space="preserve"> – calculated age as of June 1</w:t>
      </w:r>
      <w:r w:rsidRPr="00E943D2">
        <w:rPr>
          <w:vertAlign w:val="superscript"/>
        </w:rPr>
        <w:t>st</w:t>
      </w:r>
      <w:r>
        <w:t xml:space="preserve"> of the fiscal year in question; age is </w:t>
      </w:r>
      <w:r w:rsidR="00C3444E">
        <w:t>based on Birth Date field</w:t>
      </w:r>
      <w:r>
        <w:t xml:space="preserve"> in Client Reporting; age is grouped into the following categories; &lt;18, 18-24, 25-29, 30-34, 35-44, 45-54, 55-61, 62 and Older, and Unknown when Client date of birth is not reported</w:t>
      </w:r>
    </w:p>
    <w:p w:rsidR="00E943D2" w:rsidRDefault="00E943D2" w:rsidP="00E943D2">
      <w:r>
        <w:rPr>
          <w:b/>
        </w:rPr>
        <w:t>Client Number</w:t>
      </w:r>
      <w:r>
        <w:t xml:space="preserve"> – WTCS assigned number for each Client reported in Client Reporting</w:t>
      </w:r>
    </w:p>
    <w:p w:rsidR="00E943D2" w:rsidRDefault="00E943D2" w:rsidP="00E943D2">
      <w:r>
        <w:rPr>
          <w:b/>
        </w:rPr>
        <w:t>County of Residence</w:t>
      </w:r>
      <w:r>
        <w:t xml:space="preserve"> – reference definitions in the Client Reporting System Manual; based on County Code field</w:t>
      </w:r>
    </w:p>
    <w:p w:rsidR="00E943D2" w:rsidRDefault="00E943D2" w:rsidP="00E943D2">
      <w:r>
        <w:rPr>
          <w:b/>
        </w:rPr>
        <w:t>Disability</w:t>
      </w:r>
      <w:r>
        <w:t xml:space="preserve"> – reference definitions in the Client Reporting System Manual</w:t>
      </w:r>
      <w:r w:rsidR="00C3444E">
        <w:t>; based on Person with Disability field</w:t>
      </w:r>
    </w:p>
    <w:p w:rsidR="00E943D2" w:rsidRDefault="00E943D2" w:rsidP="00E943D2">
      <w:r>
        <w:rPr>
          <w:b/>
        </w:rPr>
        <w:t>Displaced Homemaker</w:t>
      </w:r>
      <w:r>
        <w:t xml:space="preserve"> – reference definitions in the Client Reporting System Manual</w:t>
      </w:r>
      <w:r w:rsidR="00C3444E">
        <w:t>; based on Displaced Homemaker field</w:t>
      </w:r>
    </w:p>
    <w:p w:rsidR="00E943D2" w:rsidRDefault="00E943D2" w:rsidP="00E943D2">
      <w:r>
        <w:rPr>
          <w:b/>
        </w:rPr>
        <w:lastRenderedPageBreak/>
        <w:t>District of Residence</w:t>
      </w:r>
      <w:r>
        <w:t xml:space="preserve"> – reference definitions in the Client Reporting System Manual</w:t>
      </w:r>
      <w:r w:rsidR="00905759">
        <w:t xml:space="preserve">; </w:t>
      </w:r>
      <w:r w:rsidR="00723C58">
        <w:t>based on</w:t>
      </w:r>
      <w:r w:rsidR="00905759">
        <w:t xml:space="preserve"> WTCS District of Residence field</w:t>
      </w:r>
    </w:p>
    <w:p w:rsidR="00905759" w:rsidRDefault="00905759" w:rsidP="00E943D2">
      <w:r>
        <w:rPr>
          <w:b/>
        </w:rPr>
        <w:t>District Student Id</w:t>
      </w:r>
      <w:r>
        <w:t xml:space="preserve"> – reference definitions in the Client Reporting System Manual</w:t>
      </w:r>
      <w:r w:rsidR="00C3444E">
        <w:t>; based on District Student ID field</w:t>
      </w:r>
    </w:p>
    <w:p w:rsidR="00905759" w:rsidRPr="00905759" w:rsidRDefault="00905759" w:rsidP="00E943D2">
      <w:r>
        <w:rPr>
          <w:b/>
        </w:rPr>
        <w:t>Economically Disadvantaged</w:t>
      </w:r>
      <w:r>
        <w:t xml:space="preserve"> – reference definitions in the Client Reporting System Manual</w:t>
      </w:r>
      <w:r w:rsidR="00C3444E">
        <w:t>; based on Economically Disadvantaged field</w:t>
      </w:r>
    </w:p>
    <w:p w:rsidR="00905759" w:rsidRDefault="00905759" w:rsidP="00905759">
      <w:pPr>
        <w:contextualSpacing/>
      </w:pPr>
      <w:r>
        <w:rPr>
          <w:b/>
        </w:rPr>
        <w:t>Effort District</w:t>
      </w:r>
      <w:r>
        <w:t xml:space="preserve"> – the WTCS district a high school is located in, per the district boundaries defined in WTCS State Board policy; this code is not reported, but is added to the high school tables to allow Technical Colleges and the System Office to see where high school attendees/graduates from the various Technical College districts enroll</w:t>
      </w:r>
    </w:p>
    <w:p w:rsidR="00723C58" w:rsidRDefault="00723C58" w:rsidP="00905759">
      <w:pPr>
        <w:contextualSpacing/>
      </w:pPr>
    </w:p>
    <w:p w:rsidR="00723C58" w:rsidRDefault="00723C58" w:rsidP="00905759">
      <w:r>
        <w:rPr>
          <w:b/>
        </w:rPr>
        <w:t>Full-time 24 Or More Credits</w:t>
      </w:r>
      <w:r>
        <w:t xml:space="preserve"> – </w:t>
      </w:r>
      <w:r w:rsidR="00790F18">
        <w:t>calculation of the sum of credits enrolled in during the said academic year; includes credits across all aid codes from Client Reporting</w:t>
      </w:r>
    </w:p>
    <w:p w:rsidR="00723C58" w:rsidRDefault="00723C58" w:rsidP="00723C58">
      <w:r>
        <w:rPr>
          <w:b/>
        </w:rPr>
        <w:t>Gender</w:t>
      </w:r>
      <w:r>
        <w:t xml:space="preserve"> – reference definitions in the Client Reporting System Manual; based on Sex Code field</w:t>
      </w:r>
    </w:p>
    <w:p w:rsidR="00723C58" w:rsidRDefault="00723C58" w:rsidP="00723C58">
      <w:r>
        <w:rPr>
          <w:b/>
        </w:rPr>
        <w:t>High School Graduation Year</w:t>
      </w:r>
      <w:r>
        <w:t xml:space="preserve"> – reference definitions in the Client Reporting System Manual; based on Year of High School Graduation field</w:t>
      </w:r>
    </w:p>
    <w:p w:rsidR="00723C58" w:rsidRDefault="00723C58" w:rsidP="00723C58">
      <w:r>
        <w:rPr>
          <w:b/>
        </w:rPr>
        <w:t>High School Last Attended</w:t>
      </w:r>
      <w:r>
        <w:t xml:space="preserve"> - reference definitions in the Client Reporting System Manual; based on High School Attended field</w:t>
      </w:r>
    </w:p>
    <w:p w:rsidR="00723C58" w:rsidRDefault="00723C58" w:rsidP="00723C58">
      <w:r>
        <w:rPr>
          <w:b/>
        </w:rPr>
        <w:t>Highest Credential Received</w:t>
      </w:r>
      <w:r>
        <w:t xml:space="preserve"> - reference definitions in the Client Reporting System Manual; based on Highest Credential Received at Enrollment field</w:t>
      </w:r>
    </w:p>
    <w:p w:rsidR="00723C58" w:rsidRDefault="00723C58" w:rsidP="00723C58">
      <w:r>
        <w:rPr>
          <w:b/>
        </w:rPr>
        <w:t xml:space="preserve">Highest Grade Completed </w:t>
      </w:r>
      <w:r>
        <w:t>- reference definitions in the Client Reporting System Manual; based on Highest Grade Completed at Enrollment field</w:t>
      </w:r>
    </w:p>
    <w:p w:rsidR="00723C58" w:rsidRDefault="00723C58" w:rsidP="00723C58">
      <w:r>
        <w:rPr>
          <w:b/>
        </w:rPr>
        <w:t>Incarcerated</w:t>
      </w:r>
      <w:r>
        <w:t xml:space="preserve"> - reference definitions in the Client Reporting System Manual;</w:t>
      </w:r>
      <w:r w:rsidR="00F44A57">
        <w:t xml:space="preserve"> based on Incarcerated field</w:t>
      </w:r>
    </w:p>
    <w:p w:rsidR="00F44A57" w:rsidRPr="00F44A57" w:rsidRDefault="00F44A57" w:rsidP="00723C58">
      <w:r>
        <w:rPr>
          <w:b/>
        </w:rPr>
        <w:t>Limited English Proficiency</w:t>
      </w:r>
      <w:r>
        <w:t xml:space="preserve"> - reference definitions in the Client Reporting System Manual; based on Limited English Proficiency field</w:t>
      </w:r>
    </w:p>
    <w:p w:rsidR="00844AC7" w:rsidRPr="00F44A57" w:rsidRDefault="00844AC7" w:rsidP="00844AC7">
      <w:r>
        <w:rPr>
          <w:b/>
        </w:rPr>
        <w:t>Minority</w:t>
      </w:r>
      <w:r>
        <w:t xml:space="preserve"> - reference definitions in the Client Reporting System Manual; based on Ethnic Code/Race field; minority status of “Yes” includes American Indian/Alaskan Native, Asian, Black, Hispanic, Multiple, Pacific Islander; minority status of “No” includes White and Unknown </w:t>
      </w:r>
    </w:p>
    <w:p w:rsidR="00790F18" w:rsidRPr="00F44A57" w:rsidRDefault="00790F18" w:rsidP="00790F18">
      <w:r>
        <w:rPr>
          <w:b/>
        </w:rPr>
        <w:t>Municipality of Residence</w:t>
      </w:r>
      <w:r>
        <w:t xml:space="preserve"> - reference definitions in the Client Reporting System Manual; based on Municipality Code field</w:t>
      </w:r>
    </w:p>
    <w:p w:rsidR="00E943D2" w:rsidRDefault="00790F18" w:rsidP="00E943D2">
      <w:r>
        <w:rPr>
          <w:b/>
        </w:rPr>
        <w:t>Program Enrollee</w:t>
      </w:r>
      <w:r>
        <w:t xml:space="preserve"> – Student has an S9 record in Client Reporting in the said academic year</w:t>
      </w:r>
    </w:p>
    <w:p w:rsidR="00790F18" w:rsidRDefault="00790F18" w:rsidP="00790F18">
      <w:r>
        <w:rPr>
          <w:b/>
        </w:rPr>
        <w:t>Program Graduate</w:t>
      </w:r>
      <w:r>
        <w:t xml:space="preserve"> – Student has an S9 graduate record in Client Reporting in the said academic year</w:t>
      </w:r>
    </w:p>
    <w:p w:rsidR="00790F18" w:rsidRDefault="00790F18" w:rsidP="00790F18">
      <w:r>
        <w:rPr>
          <w:b/>
        </w:rPr>
        <w:t>Race Ethnicity</w:t>
      </w:r>
      <w:r>
        <w:t xml:space="preserve"> - reference definitions in the Client Reporting System Manual; based on Ethnic Code/Race field</w:t>
      </w:r>
    </w:p>
    <w:p w:rsidR="00790F18" w:rsidRDefault="00790F18" w:rsidP="00790F18">
      <w:r>
        <w:rPr>
          <w:b/>
        </w:rPr>
        <w:t>Single Parent</w:t>
      </w:r>
      <w:r>
        <w:t xml:space="preserve"> - reference definitions in the Client Reporting System Manual; based on Single Parent field</w:t>
      </w:r>
    </w:p>
    <w:p w:rsidR="00790F18" w:rsidRPr="00F44A57" w:rsidRDefault="00790F18" w:rsidP="00790F18">
      <w:r>
        <w:rPr>
          <w:b/>
        </w:rPr>
        <w:lastRenderedPageBreak/>
        <w:t>Work Status</w:t>
      </w:r>
      <w:r>
        <w:t xml:space="preserve"> - reference definitions in the Client Reporting System Manual; based on </w:t>
      </w:r>
      <w:r w:rsidR="00C3444E">
        <w:t>Work Status at Enrollment</w:t>
      </w:r>
      <w:r>
        <w:t xml:space="preserve"> field</w:t>
      </w:r>
    </w:p>
    <w:p w:rsidR="000C3814" w:rsidRPr="00F23E10" w:rsidRDefault="000C3814" w:rsidP="000C3814">
      <w:pPr>
        <w:rPr>
          <w:b/>
          <w:sz w:val="28"/>
          <w:szCs w:val="28"/>
        </w:rPr>
      </w:pPr>
      <w:r w:rsidRPr="00F91542">
        <w:rPr>
          <w:b/>
          <w:sz w:val="28"/>
          <w:szCs w:val="28"/>
          <w:u w:val="single"/>
        </w:rPr>
        <w:t>Dimension Group</w:t>
      </w:r>
      <w:r w:rsidRPr="00F23E10">
        <w:rPr>
          <w:b/>
          <w:sz w:val="28"/>
          <w:szCs w:val="28"/>
        </w:rPr>
        <w:t>:</w:t>
      </w:r>
    </w:p>
    <w:p w:rsidR="000C3814" w:rsidRDefault="000C3814" w:rsidP="000C3814">
      <w:r>
        <w:rPr>
          <w:b/>
        </w:rPr>
        <w:t xml:space="preserve">Districts </w:t>
      </w:r>
      <w:r>
        <w:t>– data is sourced to the WTCS Client Reporting System</w:t>
      </w:r>
    </w:p>
    <w:p w:rsidR="000C3814" w:rsidRDefault="000C3814" w:rsidP="000C3814">
      <w:pPr>
        <w:rPr>
          <w:b/>
          <w:sz w:val="28"/>
          <w:szCs w:val="28"/>
        </w:rPr>
      </w:pPr>
      <w:r>
        <w:rPr>
          <w:b/>
          <w:sz w:val="28"/>
          <w:szCs w:val="28"/>
        </w:rPr>
        <w:t>Dimensions</w:t>
      </w:r>
      <w:r w:rsidRPr="00F23E10">
        <w:rPr>
          <w:b/>
          <w:sz w:val="28"/>
          <w:szCs w:val="28"/>
        </w:rPr>
        <w:t>:</w:t>
      </w:r>
    </w:p>
    <w:p w:rsidR="000C3814" w:rsidRDefault="000C3814" w:rsidP="000C3814">
      <w:r w:rsidRPr="00A16A76">
        <w:rPr>
          <w:b/>
        </w:rPr>
        <w:t>District</w:t>
      </w:r>
      <w:r>
        <w:t xml:space="preserve"> – </w:t>
      </w:r>
      <w:r w:rsidR="00A16A76">
        <w:t>reference definitions in the Client Reporting System Manual; combined field including the District Number field reported in the Client Reporting System and the associated district name</w:t>
      </w:r>
    </w:p>
    <w:p w:rsidR="00353E48" w:rsidRPr="00353E48" w:rsidRDefault="00A16A76" w:rsidP="00E47FE6">
      <w:r w:rsidRPr="00A16A76">
        <w:rPr>
          <w:b/>
        </w:rPr>
        <w:t>District</w:t>
      </w:r>
      <w:r>
        <w:rPr>
          <w:b/>
        </w:rPr>
        <w:t xml:space="preserve"> Code</w:t>
      </w:r>
      <w:r>
        <w:t xml:space="preserve"> – reference definitions in the Client Reporting System Manual; based on District Number field</w:t>
      </w:r>
    </w:p>
    <w:p w:rsidR="00A16A76" w:rsidRPr="00353E48" w:rsidRDefault="00A16A76" w:rsidP="00A16A76">
      <w:r w:rsidRPr="00A16A76">
        <w:rPr>
          <w:b/>
        </w:rPr>
        <w:t>District</w:t>
      </w:r>
      <w:r>
        <w:rPr>
          <w:b/>
        </w:rPr>
        <w:t xml:space="preserve"> Initials</w:t>
      </w:r>
      <w:r>
        <w:t xml:space="preserve"> – initials of district based on the District Number field in the Client Reporting System</w:t>
      </w:r>
    </w:p>
    <w:p w:rsidR="00A16A76" w:rsidRPr="00353E48" w:rsidRDefault="00A16A76" w:rsidP="00A16A76">
      <w:r w:rsidRPr="00A16A76">
        <w:rPr>
          <w:b/>
        </w:rPr>
        <w:t>District</w:t>
      </w:r>
      <w:r>
        <w:rPr>
          <w:b/>
        </w:rPr>
        <w:t xml:space="preserve"> Name</w:t>
      </w:r>
      <w:r>
        <w:t xml:space="preserve"> – district name based on the District Number field in the Client Reporting System</w:t>
      </w:r>
    </w:p>
    <w:p w:rsidR="00E47FE6" w:rsidRDefault="00A16A76">
      <w:r w:rsidRPr="00A16A76">
        <w:rPr>
          <w:b/>
        </w:rPr>
        <w:t>District</w:t>
      </w:r>
      <w:r>
        <w:rPr>
          <w:b/>
        </w:rPr>
        <w:t xml:space="preserve"> Short Name</w:t>
      </w:r>
      <w:r>
        <w:t xml:space="preserve"> – district name excluding “Technical College” verbiage; based on the District Number field in the Client Reporting System</w:t>
      </w:r>
    </w:p>
    <w:p w:rsidR="00312AAA" w:rsidRPr="00F23E10" w:rsidRDefault="00312AAA" w:rsidP="00312AAA">
      <w:pPr>
        <w:rPr>
          <w:b/>
          <w:sz w:val="28"/>
          <w:szCs w:val="28"/>
        </w:rPr>
      </w:pPr>
      <w:r w:rsidRPr="00F91542">
        <w:rPr>
          <w:b/>
          <w:sz w:val="28"/>
          <w:szCs w:val="28"/>
          <w:u w:val="single"/>
        </w:rPr>
        <w:t>Dimension Group</w:t>
      </w:r>
      <w:r w:rsidRPr="00F23E10">
        <w:rPr>
          <w:b/>
          <w:sz w:val="28"/>
          <w:szCs w:val="28"/>
        </w:rPr>
        <w:t>:</w:t>
      </w:r>
    </w:p>
    <w:p w:rsidR="00312AAA" w:rsidRDefault="00312AAA" w:rsidP="00312AAA">
      <w:r>
        <w:rPr>
          <w:b/>
        </w:rPr>
        <w:t xml:space="preserve">Fiscal Year </w:t>
      </w:r>
      <w:r>
        <w:t>– data is sourced to the WTCS Client Reporting System</w:t>
      </w:r>
    </w:p>
    <w:p w:rsidR="00312AAA" w:rsidRDefault="00312AAA" w:rsidP="00312AAA">
      <w:pPr>
        <w:rPr>
          <w:b/>
          <w:sz w:val="28"/>
          <w:szCs w:val="28"/>
        </w:rPr>
      </w:pPr>
      <w:r>
        <w:rPr>
          <w:b/>
          <w:sz w:val="28"/>
          <w:szCs w:val="28"/>
        </w:rPr>
        <w:t>Dimensions</w:t>
      </w:r>
      <w:r w:rsidRPr="00F23E10">
        <w:rPr>
          <w:b/>
          <w:sz w:val="28"/>
          <w:szCs w:val="28"/>
        </w:rPr>
        <w:t>:</w:t>
      </w:r>
    </w:p>
    <w:p w:rsidR="00312AAA" w:rsidRDefault="00312AAA" w:rsidP="00312AAA">
      <w:r>
        <w:rPr>
          <w:b/>
        </w:rPr>
        <w:t>Fiscal Year</w:t>
      </w:r>
      <w:r>
        <w:t xml:space="preserve"> – reference definitions in the </w:t>
      </w:r>
      <w:r w:rsidRPr="00312AAA">
        <w:t>Client Reporting System Manual</w:t>
      </w:r>
      <w:r>
        <w:t>; based on Fiscal Year field</w:t>
      </w:r>
    </w:p>
    <w:p w:rsidR="00312AAA" w:rsidRPr="00F23E10" w:rsidRDefault="00312AAA" w:rsidP="00312AAA">
      <w:pPr>
        <w:rPr>
          <w:b/>
          <w:sz w:val="28"/>
          <w:szCs w:val="28"/>
        </w:rPr>
      </w:pPr>
      <w:r w:rsidRPr="00F91542">
        <w:rPr>
          <w:b/>
          <w:sz w:val="28"/>
          <w:szCs w:val="28"/>
          <w:u w:val="single"/>
        </w:rPr>
        <w:t>Dimension Group</w:t>
      </w:r>
      <w:r w:rsidRPr="00F23E10">
        <w:rPr>
          <w:b/>
          <w:sz w:val="28"/>
          <w:szCs w:val="28"/>
        </w:rPr>
        <w:t>:</w:t>
      </w:r>
    </w:p>
    <w:p w:rsidR="00312AAA" w:rsidRDefault="00312AAA" w:rsidP="00312AAA">
      <w:r>
        <w:rPr>
          <w:b/>
        </w:rPr>
        <w:t xml:space="preserve">Program </w:t>
      </w:r>
      <w:r>
        <w:t>– data is sourced to the WTCS Client Reporting System; identifies the parent program in a pathway linked to an Embedded Technical Diploma or a Pathway Certificate</w:t>
      </w:r>
    </w:p>
    <w:p w:rsidR="00312AAA" w:rsidRDefault="00312AAA" w:rsidP="00312AAA">
      <w:pPr>
        <w:rPr>
          <w:b/>
          <w:sz w:val="28"/>
          <w:szCs w:val="28"/>
        </w:rPr>
      </w:pPr>
      <w:r>
        <w:rPr>
          <w:b/>
          <w:sz w:val="28"/>
          <w:szCs w:val="28"/>
        </w:rPr>
        <w:t>Dimensions</w:t>
      </w:r>
      <w:r w:rsidRPr="00F23E10">
        <w:rPr>
          <w:b/>
          <w:sz w:val="28"/>
          <w:szCs w:val="28"/>
        </w:rPr>
        <w:t>:</w:t>
      </w:r>
    </w:p>
    <w:p w:rsidR="00312AAA" w:rsidRDefault="00312AAA" w:rsidP="00312AAA">
      <w:r w:rsidRPr="00573675">
        <w:rPr>
          <w:b/>
        </w:rPr>
        <w:t>Career Cluster</w:t>
      </w:r>
      <w:r w:rsidRPr="00573675">
        <w:t xml:space="preserve"> –</w:t>
      </w:r>
      <w:r>
        <w:t xml:space="preserve"> Each program is assigned a Career Cluster; more information can be found on </w:t>
      </w:r>
      <w:proofErr w:type="spellStart"/>
      <w:r>
        <w:t>MyWTCS</w:t>
      </w:r>
      <w:proofErr w:type="spellEnd"/>
    </w:p>
    <w:p w:rsidR="00312AAA" w:rsidRDefault="00312AAA" w:rsidP="00312AAA">
      <w:r w:rsidRPr="004B2638">
        <w:rPr>
          <w:b/>
        </w:rPr>
        <w:t>CIP Code</w:t>
      </w:r>
      <w:r w:rsidRPr="004B2638">
        <w:t xml:space="preserve"> –</w:t>
      </w:r>
      <w:r>
        <w:t xml:space="preserve"> Classification of Instructional Programs (CIP) assigned to an academic program during the program approval process</w:t>
      </w:r>
    </w:p>
    <w:p w:rsidR="00312AAA" w:rsidRDefault="00312AAA" w:rsidP="00312AAA">
      <w:r w:rsidRPr="00573675">
        <w:rPr>
          <w:b/>
        </w:rPr>
        <w:t>Division</w:t>
      </w:r>
      <w:r w:rsidRPr="00573675">
        <w:t xml:space="preserve"> –</w:t>
      </w:r>
      <w:r>
        <w:t xml:space="preserve"> Each program is assigned a Division; division is assigned based on the first digit of the programs instructional area</w:t>
      </w:r>
    </w:p>
    <w:p w:rsidR="00312AAA" w:rsidRDefault="00312AAA" w:rsidP="00312AAA">
      <w:r>
        <w:rPr>
          <w:b/>
        </w:rPr>
        <w:t>Instructional Area</w:t>
      </w:r>
      <w:r>
        <w:t xml:space="preserve"> – the description associated with the three digit instructional area code within the program number</w:t>
      </w:r>
    </w:p>
    <w:p w:rsidR="00312AAA" w:rsidRDefault="00312AAA" w:rsidP="00312AAA">
      <w:r>
        <w:rPr>
          <w:b/>
        </w:rPr>
        <w:t>Instructional Area</w:t>
      </w:r>
      <w:r>
        <w:t xml:space="preserve"> </w:t>
      </w:r>
      <w:r w:rsidRPr="00921A22">
        <w:rPr>
          <w:b/>
        </w:rPr>
        <w:t>Code</w:t>
      </w:r>
      <w:r>
        <w:t xml:space="preserve"> – the three digit instructional area code associated with a program number ex. program number = 10-101-1 and instructional area code = 101</w:t>
      </w:r>
    </w:p>
    <w:p w:rsidR="00312AAA" w:rsidRDefault="00312AAA" w:rsidP="00312AAA">
      <w:r>
        <w:rPr>
          <w:b/>
        </w:rPr>
        <w:t>NTO Bias</w:t>
      </w:r>
      <w:r>
        <w:t xml:space="preserve"> – identifies if a “Male Gender Bias”, “Female Gender Bias”, or “No Bias” exists for a program</w:t>
      </w:r>
    </w:p>
    <w:p w:rsidR="00312AAA" w:rsidRDefault="00312AAA" w:rsidP="00312AAA">
      <w:r>
        <w:rPr>
          <w:b/>
        </w:rPr>
        <w:lastRenderedPageBreak/>
        <w:t>Program</w:t>
      </w:r>
      <w:r>
        <w:t xml:space="preserve"> – combination of the program number and the program title associated with the program number</w:t>
      </w:r>
    </w:p>
    <w:p w:rsidR="00312AAA" w:rsidRDefault="00312AAA" w:rsidP="00312AAA">
      <w:r>
        <w:rPr>
          <w:b/>
        </w:rPr>
        <w:t>Program Aid Code</w:t>
      </w:r>
      <w:r>
        <w:t xml:space="preserve"> – the first two digits of the program number</w:t>
      </w:r>
    </w:p>
    <w:p w:rsidR="00312AAA" w:rsidRDefault="00312AAA" w:rsidP="00312AAA">
      <w:r>
        <w:rPr>
          <w:b/>
        </w:rPr>
        <w:t>Program Number</w:t>
      </w:r>
      <w:r>
        <w:t xml:space="preserve"> – reference definitions in the Client Reporting System Manual; based on Program Number field</w:t>
      </w:r>
    </w:p>
    <w:p w:rsidR="00896BEF" w:rsidRPr="00F23E10" w:rsidRDefault="00896BEF" w:rsidP="00896BEF">
      <w:pPr>
        <w:rPr>
          <w:b/>
          <w:sz w:val="28"/>
          <w:szCs w:val="28"/>
        </w:rPr>
      </w:pPr>
      <w:r w:rsidRPr="00F91542">
        <w:rPr>
          <w:b/>
          <w:sz w:val="28"/>
          <w:szCs w:val="28"/>
          <w:u w:val="single"/>
        </w:rPr>
        <w:t>Dimension Group</w:t>
      </w:r>
      <w:r w:rsidRPr="00F23E10">
        <w:rPr>
          <w:b/>
          <w:sz w:val="28"/>
          <w:szCs w:val="28"/>
        </w:rPr>
        <w:t>:</w:t>
      </w:r>
    </w:p>
    <w:p w:rsidR="00896BEF" w:rsidRDefault="00896BEF" w:rsidP="00896BEF">
      <w:r>
        <w:rPr>
          <w:b/>
        </w:rPr>
        <w:t xml:space="preserve">Program Enrollee or Graduate </w:t>
      </w:r>
      <w:r>
        <w:t>– data is sourced to the WTCS Client Reporting System</w:t>
      </w:r>
    </w:p>
    <w:p w:rsidR="00896BEF" w:rsidRDefault="00896BEF" w:rsidP="00896BEF">
      <w:pPr>
        <w:rPr>
          <w:b/>
          <w:sz w:val="28"/>
          <w:szCs w:val="28"/>
        </w:rPr>
      </w:pPr>
      <w:r>
        <w:rPr>
          <w:b/>
          <w:sz w:val="28"/>
          <w:szCs w:val="28"/>
        </w:rPr>
        <w:t>Dimensions</w:t>
      </w:r>
      <w:r w:rsidRPr="00F23E10">
        <w:rPr>
          <w:b/>
          <w:sz w:val="28"/>
          <w:szCs w:val="28"/>
        </w:rPr>
        <w:t>:</w:t>
      </w:r>
    </w:p>
    <w:p w:rsidR="00896BEF" w:rsidRDefault="00896BEF" w:rsidP="00896BEF">
      <w:r>
        <w:rPr>
          <w:b/>
        </w:rPr>
        <w:t>Graduate Status</w:t>
      </w:r>
      <w:r>
        <w:t xml:space="preserve"> – reference definitions in the </w:t>
      </w:r>
      <w:r w:rsidRPr="00312AAA">
        <w:t>Client Reporting System Manual</w:t>
      </w:r>
      <w:r>
        <w:t>; based on Program Graduate field; identifies if a program enrollee graduated from a specific program; if a program enrollee was reported in two programs and graduated from only one, they will be counted separately (once as a graduate and once as a program enrollee)</w:t>
      </w:r>
    </w:p>
    <w:p w:rsidR="00896BEF" w:rsidRPr="00F23E10" w:rsidRDefault="00896BEF" w:rsidP="00896BEF">
      <w:pPr>
        <w:rPr>
          <w:b/>
          <w:sz w:val="28"/>
          <w:szCs w:val="28"/>
        </w:rPr>
      </w:pPr>
      <w:r w:rsidRPr="00F91542">
        <w:rPr>
          <w:b/>
          <w:sz w:val="28"/>
          <w:szCs w:val="28"/>
          <w:u w:val="single"/>
        </w:rPr>
        <w:t>Dimension Group</w:t>
      </w:r>
      <w:r w:rsidRPr="00F23E10">
        <w:rPr>
          <w:b/>
          <w:sz w:val="28"/>
          <w:szCs w:val="28"/>
        </w:rPr>
        <w:t>:</w:t>
      </w:r>
    </w:p>
    <w:p w:rsidR="00896BEF" w:rsidRDefault="00896BEF" w:rsidP="00896BEF">
      <w:r>
        <w:rPr>
          <w:b/>
        </w:rPr>
        <w:t xml:space="preserve">Transfer Institution </w:t>
      </w:r>
      <w:r>
        <w:t>– data is sourced to the National Student Clearinghouse and refers to the institution of transfer</w:t>
      </w:r>
    </w:p>
    <w:p w:rsidR="00896BEF" w:rsidRDefault="00896BEF" w:rsidP="00896BEF">
      <w:pPr>
        <w:rPr>
          <w:b/>
          <w:sz w:val="28"/>
          <w:szCs w:val="28"/>
        </w:rPr>
      </w:pPr>
      <w:r>
        <w:rPr>
          <w:b/>
          <w:sz w:val="28"/>
          <w:szCs w:val="28"/>
        </w:rPr>
        <w:t>Dimensions</w:t>
      </w:r>
      <w:r w:rsidRPr="00F23E10">
        <w:rPr>
          <w:b/>
          <w:sz w:val="28"/>
          <w:szCs w:val="28"/>
        </w:rPr>
        <w:t>:</w:t>
      </w:r>
    </w:p>
    <w:p w:rsidR="00896BEF" w:rsidRDefault="00896BEF" w:rsidP="00896BEF">
      <w:r w:rsidRPr="00896BEF">
        <w:rPr>
          <w:b/>
        </w:rPr>
        <w:t>College Name</w:t>
      </w:r>
      <w:r>
        <w:t xml:space="preserve"> – the college name a student is enrolled in and reported on in the National Student Clearinghouse</w:t>
      </w:r>
    </w:p>
    <w:p w:rsidR="00896BEF" w:rsidRDefault="00896BEF" w:rsidP="00896BEF">
      <w:r w:rsidRPr="00896BEF">
        <w:rPr>
          <w:b/>
        </w:rPr>
        <w:t xml:space="preserve">College </w:t>
      </w:r>
      <w:r>
        <w:rPr>
          <w:b/>
        </w:rPr>
        <w:t>State</w:t>
      </w:r>
      <w:r>
        <w:t xml:space="preserve"> – the geographic state of the college a student is enrolled in and reported on in the National Student Clearinghouse</w:t>
      </w:r>
    </w:p>
    <w:p w:rsidR="00896BEF" w:rsidRDefault="00896BEF" w:rsidP="00896BEF">
      <w:r>
        <w:rPr>
          <w:b/>
        </w:rPr>
        <w:t>Public or Private College</w:t>
      </w:r>
      <w:r>
        <w:t xml:space="preserve"> – the public or private classification of the college a student is enrolled in and reported on in the National Student Clearinghouse</w:t>
      </w:r>
    </w:p>
    <w:p w:rsidR="00896BEF" w:rsidRDefault="00896BEF" w:rsidP="00896BEF">
      <w:r>
        <w:rPr>
          <w:b/>
        </w:rPr>
        <w:t>Two or Four Year College</w:t>
      </w:r>
      <w:r>
        <w:t xml:space="preserve"> – the two or four year classification of the college a student is enrolled in and reported on in the National Student Clearinghouse</w:t>
      </w:r>
    </w:p>
    <w:p w:rsidR="00896BEF" w:rsidRPr="00F23E10" w:rsidRDefault="00896BEF" w:rsidP="00896BEF">
      <w:pPr>
        <w:rPr>
          <w:b/>
          <w:sz w:val="28"/>
          <w:szCs w:val="28"/>
        </w:rPr>
      </w:pPr>
      <w:r w:rsidRPr="00F91542">
        <w:rPr>
          <w:b/>
          <w:sz w:val="28"/>
          <w:szCs w:val="28"/>
          <w:u w:val="single"/>
        </w:rPr>
        <w:t>Dimension Group</w:t>
      </w:r>
      <w:r w:rsidRPr="00F23E10">
        <w:rPr>
          <w:b/>
          <w:sz w:val="28"/>
          <w:szCs w:val="28"/>
        </w:rPr>
        <w:t>:</w:t>
      </w:r>
    </w:p>
    <w:p w:rsidR="00896BEF" w:rsidRDefault="00896BEF" w:rsidP="00896BEF">
      <w:r>
        <w:rPr>
          <w:b/>
        </w:rPr>
        <w:t xml:space="preserve">Transfer Program </w:t>
      </w:r>
      <w:r>
        <w:t>– data is sourced to the National Student Clearinghouse and refers to the program a student is reported in as an enrollee</w:t>
      </w:r>
    </w:p>
    <w:p w:rsidR="00896BEF" w:rsidRDefault="00896BEF" w:rsidP="00896BEF">
      <w:pPr>
        <w:rPr>
          <w:b/>
          <w:sz w:val="28"/>
          <w:szCs w:val="28"/>
        </w:rPr>
      </w:pPr>
      <w:r>
        <w:rPr>
          <w:b/>
          <w:sz w:val="28"/>
          <w:szCs w:val="28"/>
        </w:rPr>
        <w:t>Dimensions</w:t>
      </w:r>
      <w:r w:rsidRPr="00F23E10">
        <w:rPr>
          <w:b/>
          <w:sz w:val="28"/>
          <w:szCs w:val="28"/>
        </w:rPr>
        <w:t>:</w:t>
      </w:r>
    </w:p>
    <w:p w:rsidR="00896BEF" w:rsidRDefault="00433477" w:rsidP="00896BEF">
      <w:r>
        <w:rPr>
          <w:b/>
        </w:rPr>
        <w:t>Transfer Program CIP</w:t>
      </w:r>
      <w:r w:rsidR="00896BEF">
        <w:t xml:space="preserve"> – the </w:t>
      </w:r>
      <w:r>
        <w:t>CIP tied to the program reported by the transfer institution to the National Student Clearinghouse</w:t>
      </w:r>
    </w:p>
    <w:p w:rsidR="00433477" w:rsidRDefault="00433477" w:rsidP="00433477">
      <w:r>
        <w:rPr>
          <w:b/>
        </w:rPr>
        <w:t>Transfer Program Major</w:t>
      </w:r>
      <w:r>
        <w:t xml:space="preserve"> – the major tied to the program reported by the transfer institution to the National Student Clearinghouse</w:t>
      </w:r>
    </w:p>
    <w:p w:rsidR="00896BEF" w:rsidRDefault="00896BEF" w:rsidP="00896BEF"/>
    <w:p w:rsidR="00896BEF" w:rsidRDefault="00896BEF" w:rsidP="00896BEF"/>
    <w:p w:rsidR="00CB40C3" w:rsidRPr="00CB40C3" w:rsidRDefault="00CB40C3" w:rsidP="00573675">
      <w:pPr>
        <w:pStyle w:val="Heading1"/>
        <w:rPr>
          <w:b/>
          <w:i/>
          <w:sz w:val="36"/>
          <w:szCs w:val="36"/>
        </w:rPr>
      </w:pPr>
      <w:bookmarkStart w:id="3" w:name="_Toc460593260"/>
      <w:r>
        <w:rPr>
          <w:b/>
          <w:i/>
          <w:sz w:val="36"/>
          <w:szCs w:val="36"/>
        </w:rPr>
        <w:t>Cube Combination Examples</w:t>
      </w:r>
      <w:r w:rsidRPr="00CB40C3">
        <w:rPr>
          <w:b/>
          <w:i/>
          <w:sz w:val="36"/>
          <w:szCs w:val="36"/>
        </w:rPr>
        <w:t>:</w:t>
      </w:r>
      <w:bookmarkEnd w:id="3"/>
    </w:p>
    <w:p w:rsidR="00CA029A" w:rsidRPr="004910F9" w:rsidRDefault="00433477" w:rsidP="004910F9">
      <w:pPr>
        <w:pStyle w:val="ListParagraph"/>
        <w:numPr>
          <w:ilvl w:val="0"/>
          <w:numId w:val="1"/>
        </w:numPr>
      </w:pPr>
      <w:r>
        <w:rPr>
          <w:b/>
        </w:rPr>
        <w:t>Identify QRP transfer rates for a specific program, comparing graduates of the program to program enrollees who have not graduated.</w:t>
      </w:r>
    </w:p>
    <w:p w:rsidR="004910F9" w:rsidRDefault="004910F9" w:rsidP="004910F9">
      <w:r>
        <w:t>Connect to the WTCS server through the Cisco VPN.  Open Excel and connect to the QRP –</w:t>
      </w:r>
      <w:r w:rsidR="00496FC5">
        <w:t xml:space="preserve"> </w:t>
      </w:r>
      <w:r w:rsidR="00433477">
        <w:t>Indicator #4 Transfer</w:t>
      </w:r>
      <w:r>
        <w:t xml:space="preserve"> Cube.  </w:t>
      </w:r>
      <w:r w:rsidR="003363FA">
        <w:t>Reference the OLAP Cube Connection Requirements and Instructions for District Users document for full instructions on connecting to the Cubes.  Once connected, r</w:t>
      </w:r>
      <w:r>
        <w:t>eplicate the below</w:t>
      </w:r>
      <w:r w:rsidR="003363FA">
        <w:t xml:space="preserve"> Cube</w:t>
      </w:r>
      <w:r>
        <w:t xml:space="preserve"> combination.  The resulting combination will provide you with </w:t>
      </w:r>
      <w:r w:rsidR="00433477">
        <w:t>the QRP transfer rate metrics for a program in a given fiscal year; pull in the district field for benchmarking across the System</w:t>
      </w:r>
      <w:r w:rsidR="0088710C">
        <w:t>.</w:t>
      </w:r>
      <w:r>
        <w:t xml:space="preserve">  </w:t>
      </w:r>
    </w:p>
    <w:p w:rsidR="004910F9" w:rsidRPr="004910F9" w:rsidRDefault="00433477" w:rsidP="004910F9">
      <w:r>
        <w:rPr>
          <w:noProof/>
        </w:rPr>
        <w:drawing>
          <wp:inline distT="0" distB="0" distL="0" distR="0" wp14:anchorId="5D4BAADD" wp14:editId="4EABD891">
            <wp:extent cx="5943600" cy="2032000"/>
            <wp:effectExtent l="19050" t="19050" r="1905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32000"/>
                    </a:xfrm>
                    <a:prstGeom prst="rect">
                      <a:avLst/>
                    </a:prstGeom>
                    <a:ln>
                      <a:solidFill>
                        <a:schemeClr val="tx1"/>
                      </a:solidFill>
                    </a:ln>
                  </pic:spPr>
                </pic:pic>
              </a:graphicData>
            </a:graphic>
          </wp:inline>
        </w:drawing>
      </w:r>
    </w:p>
    <w:p w:rsidR="003363FA" w:rsidRPr="003363FA" w:rsidRDefault="003363FA" w:rsidP="003363FA">
      <w:pPr>
        <w:pStyle w:val="ListParagraph"/>
        <w:numPr>
          <w:ilvl w:val="0"/>
          <w:numId w:val="1"/>
        </w:numPr>
      </w:pPr>
      <w:r>
        <w:rPr>
          <w:b/>
        </w:rPr>
        <w:t xml:space="preserve">Identify </w:t>
      </w:r>
      <w:r w:rsidR="00433477">
        <w:rPr>
          <w:b/>
        </w:rPr>
        <w:t>the institution program graduates are transferring to</w:t>
      </w:r>
      <w:r>
        <w:rPr>
          <w:b/>
        </w:rPr>
        <w:t>.</w:t>
      </w:r>
    </w:p>
    <w:p w:rsidR="003363FA" w:rsidRDefault="003363FA" w:rsidP="003363FA">
      <w:r>
        <w:t xml:space="preserve">Connect to the WTCS server through the Cisco VPN.  </w:t>
      </w:r>
      <w:r w:rsidR="006A10D2">
        <w:t>Open Excel and connect to the QRP – Indicator #4 Transfer Cube</w:t>
      </w:r>
      <w:r>
        <w:t>.  Reference the OLAP Cube Connection Requirements and Instructions for District Users document for full instructions on connecting to the Cubes.  Once connected, replicate the below Cube combination</w:t>
      </w:r>
      <w:r w:rsidR="00433477">
        <w:t>.  The resulting combination will provide you with information on the institutions program graduates are transferring to</w:t>
      </w:r>
      <w:r>
        <w:t>.</w:t>
      </w:r>
      <w:r w:rsidR="00684B72">
        <w:t xml:space="preserve">  </w:t>
      </w:r>
      <w:r w:rsidR="0088710C">
        <w:t xml:space="preserve">  </w:t>
      </w:r>
    </w:p>
    <w:p w:rsidR="00684B72" w:rsidRPr="004910F9" w:rsidRDefault="00433477" w:rsidP="003363FA">
      <w:r>
        <w:rPr>
          <w:noProof/>
        </w:rPr>
        <w:drawing>
          <wp:inline distT="0" distB="0" distL="0" distR="0" wp14:anchorId="61660D28" wp14:editId="45E6FD7F">
            <wp:extent cx="5943600" cy="2030730"/>
            <wp:effectExtent l="19050" t="19050" r="19050"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30730"/>
                    </a:xfrm>
                    <a:prstGeom prst="rect">
                      <a:avLst/>
                    </a:prstGeom>
                    <a:ln>
                      <a:solidFill>
                        <a:schemeClr val="tx1"/>
                      </a:solidFill>
                    </a:ln>
                  </pic:spPr>
                </pic:pic>
              </a:graphicData>
            </a:graphic>
          </wp:inline>
        </w:drawing>
      </w:r>
    </w:p>
    <w:p w:rsidR="009A3EE2" w:rsidRDefault="009A3EE2" w:rsidP="00684B72"/>
    <w:p w:rsidR="006A10D2" w:rsidRDefault="006A10D2" w:rsidP="00684B72"/>
    <w:p w:rsidR="006A10D2" w:rsidRDefault="006A10D2" w:rsidP="00684B72"/>
    <w:p w:rsidR="006A10D2" w:rsidRPr="003363FA" w:rsidRDefault="006A10D2" w:rsidP="006A10D2">
      <w:pPr>
        <w:pStyle w:val="ListParagraph"/>
        <w:numPr>
          <w:ilvl w:val="0"/>
          <w:numId w:val="1"/>
        </w:numPr>
      </w:pPr>
      <w:r>
        <w:rPr>
          <w:b/>
        </w:rPr>
        <w:t>Identify the major of transfer among graduates of a specific program.</w:t>
      </w:r>
    </w:p>
    <w:p w:rsidR="006A10D2" w:rsidRPr="006A10D2" w:rsidRDefault="006A10D2" w:rsidP="006A10D2">
      <w:pPr>
        <w:rPr>
          <w:b/>
        </w:rPr>
      </w:pPr>
      <w:r>
        <w:t>Connect to the WTCS server through the Cisco VPN</w:t>
      </w:r>
      <w:r w:rsidRPr="006A10D2">
        <w:t xml:space="preserve"> </w:t>
      </w:r>
      <w:r>
        <w:t xml:space="preserve">Open Excel and connect to the QRP – Indicator #4 Transfer Cube.  Reference the OLAP Cube Connection Requirements and Instructions for District Users document for full instructions on connecting to the Cubes.  Once connected, replicate the below Cube combination.  The resulting combination will provide you with information on the major program graduates are transferring into.  </w:t>
      </w:r>
      <w:r>
        <w:rPr>
          <w:b/>
        </w:rPr>
        <w:t>It is important to note that the major field is not reported by all institutions to the National Student Clearinghouse; in the below example, there are 34 graduate transfer records with a major not supplied.</w:t>
      </w:r>
    </w:p>
    <w:p w:rsidR="006A10D2" w:rsidRPr="004910F9" w:rsidRDefault="006A10D2" w:rsidP="006A10D2">
      <w:r>
        <w:rPr>
          <w:noProof/>
        </w:rPr>
        <w:drawing>
          <wp:inline distT="0" distB="0" distL="0" distR="0" wp14:anchorId="6E5650A6" wp14:editId="07030E43">
            <wp:extent cx="5943600" cy="2019935"/>
            <wp:effectExtent l="19050" t="19050" r="19050" b="184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19935"/>
                    </a:xfrm>
                    <a:prstGeom prst="rect">
                      <a:avLst/>
                    </a:prstGeom>
                    <a:ln>
                      <a:solidFill>
                        <a:schemeClr val="tx1"/>
                      </a:solidFill>
                    </a:ln>
                  </pic:spPr>
                </pic:pic>
              </a:graphicData>
            </a:graphic>
          </wp:inline>
        </w:drawing>
      </w:r>
    </w:p>
    <w:p w:rsidR="006A10D2" w:rsidRDefault="006A10D2" w:rsidP="006A10D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6A10D2" w:rsidRDefault="006A10D2" w:rsidP="00684B72"/>
    <w:p w:rsidR="00F00B8C" w:rsidRDefault="00F00B8C" w:rsidP="00F00B8C">
      <w:pPr>
        <w:pStyle w:val="Heading1"/>
        <w:rPr>
          <w:b/>
          <w:i/>
          <w:sz w:val="36"/>
          <w:szCs w:val="36"/>
        </w:rPr>
      </w:pPr>
      <w:bookmarkStart w:id="4" w:name="_Toc460593261"/>
      <w:r>
        <w:rPr>
          <w:b/>
          <w:i/>
          <w:sz w:val="36"/>
          <w:szCs w:val="36"/>
        </w:rPr>
        <w:t>Drill-Through Capabilities</w:t>
      </w:r>
      <w:r w:rsidRPr="00CB40C3">
        <w:rPr>
          <w:b/>
          <w:i/>
          <w:sz w:val="36"/>
          <w:szCs w:val="36"/>
        </w:rPr>
        <w:t>:</w:t>
      </w:r>
      <w:bookmarkEnd w:id="4"/>
    </w:p>
    <w:p w:rsidR="001570BA" w:rsidRDefault="001570BA">
      <w:r>
        <w:t>Excel 2013 or more recent versions</w:t>
      </w:r>
      <w:r w:rsidR="00F00B8C">
        <w:t xml:space="preserve"> allow end-users to drill-</w:t>
      </w:r>
      <w:r>
        <w:t>through</w:t>
      </w:r>
      <w:r w:rsidR="00F00B8C">
        <w:t xml:space="preserve"> QRP Indicator measures within the Cubes.</w:t>
      </w:r>
      <w:r>
        <w:t xml:space="preserve">  Follow these steps to drill-through:</w:t>
      </w:r>
    </w:p>
    <w:p w:rsidR="00F00B8C" w:rsidRDefault="001570BA" w:rsidP="001570BA">
      <w:pPr>
        <w:pStyle w:val="ListParagraph"/>
        <w:numPr>
          <w:ilvl w:val="0"/>
          <w:numId w:val="4"/>
        </w:numPr>
      </w:pPr>
      <w:r>
        <w:t>Select the measure cell you want to drill-through.</w:t>
      </w:r>
    </w:p>
    <w:p w:rsidR="001570BA" w:rsidRDefault="001570BA" w:rsidP="001570BA">
      <w:pPr>
        <w:ind w:firstLine="360"/>
      </w:pPr>
      <w:r>
        <w:rPr>
          <w:noProof/>
        </w:rPr>
        <w:drawing>
          <wp:inline distT="0" distB="0" distL="0" distR="0" wp14:anchorId="2D5E5092" wp14:editId="1645BF7E">
            <wp:extent cx="5327650" cy="1923304"/>
            <wp:effectExtent l="19050" t="19050" r="25400" b="203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6445" cy="1926479"/>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Right-click in the field and select “Quick Explore”.</w:t>
      </w:r>
    </w:p>
    <w:p w:rsidR="001570BA" w:rsidRDefault="001570BA" w:rsidP="001570BA">
      <w:pPr>
        <w:ind w:firstLine="360"/>
      </w:pPr>
      <w:r>
        <w:rPr>
          <w:noProof/>
        </w:rPr>
        <w:drawing>
          <wp:inline distT="0" distB="0" distL="0" distR="0" wp14:anchorId="41C41E51" wp14:editId="1BCBEBF6">
            <wp:extent cx="1587500" cy="1722387"/>
            <wp:effectExtent l="19050" t="19050" r="1270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09159" cy="1745887"/>
                    </a:xfrm>
                    <a:prstGeom prst="rect">
                      <a:avLst/>
                    </a:prstGeom>
                    <a:ln>
                      <a:solidFill>
                        <a:schemeClr val="tx1"/>
                      </a:solidFill>
                    </a:ln>
                  </pic:spPr>
                </pic:pic>
              </a:graphicData>
            </a:graphic>
          </wp:inline>
        </w:drawing>
      </w:r>
    </w:p>
    <w:p w:rsidR="001570BA" w:rsidRDefault="001570BA" w:rsidP="001570BA">
      <w:pPr>
        <w:pStyle w:val="ListParagraph"/>
        <w:numPr>
          <w:ilvl w:val="0"/>
          <w:numId w:val="4"/>
        </w:numPr>
      </w:pPr>
      <w:r>
        <w:t>An “Explore” menu will populate – select a field within the available dimensions that you would like to drill-through to get more details and double-click.  In this example, “Academically Disadvantaged” is selected.  The resulting output shows the measure for the field selected in step one, and is broken out by the field selected in step three</w:t>
      </w:r>
    </w:p>
    <w:p w:rsidR="00571263" w:rsidRDefault="001570BA" w:rsidP="00496FC5">
      <w:pPr>
        <w:ind w:left="360"/>
      </w:pPr>
      <w:r>
        <w:rPr>
          <w:noProof/>
        </w:rPr>
        <w:lastRenderedPageBreak/>
        <w:drawing>
          <wp:inline distT="0" distB="0" distL="0" distR="0" wp14:anchorId="5AC22E70" wp14:editId="2495180E">
            <wp:extent cx="2654300" cy="1821845"/>
            <wp:effectExtent l="19050" t="19050" r="12700" b="260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73203" cy="1834819"/>
                    </a:xfrm>
                    <a:prstGeom prst="rect">
                      <a:avLst/>
                    </a:prstGeom>
                    <a:ln>
                      <a:solidFill>
                        <a:schemeClr val="tx1"/>
                      </a:solidFill>
                    </a:ln>
                  </pic:spPr>
                </pic:pic>
              </a:graphicData>
            </a:graphic>
          </wp:inline>
        </w:drawing>
      </w:r>
    </w:p>
    <w:sectPr w:rsidR="0057126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EF" w:rsidRDefault="00896BEF" w:rsidP="00573675">
      <w:pPr>
        <w:spacing w:after="0" w:line="240" w:lineRule="auto"/>
      </w:pPr>
      <w:r>
        <w:separator/>
      </w:r>
    </w:p>
  </w:endnote>
  <w:endnote w:type="continuationSeparator" w:id="0">
    <w:p w:rsidR="00896BEF" w:rsidRDefault="00896BEF" w:rsidP="0057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52997"/>
      <w:docPartObj>
        <w:docPartGallery w:val="Page Numbers (Bottom of Page)"/>
        <w:docPartUnique/>
      </w:docPartObj>
    </w:sdtPr>
    <w:sdtEndPr>
      <w:rPr>
        <w:color w:val="7F7F7F" w:themeColor="background1" w:themeShade="7F"/>
        <w:spacing w:val="60"/>
      </w:rPr>
    </w:sdtEndPr>
    <w:sdtContent>
      <w:p w:rsidR="00896BEF" w:rsidRDefault="00896B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2844">
          <w:rPr>
            <w:noProof/>
          </w:rPr>
          <w:t>2</w:t>
        </w:r>
        <w:r>
          <w:rPr>
            <w:noProof/>
          </w:rPr>
          <w:fldChar w:fldCharType="end"/>
        </w:r>
        <w:r>
          <w:t xml:space="preserve"> | </w:t>
        </w:r>
        <w:r>
          <w:rPr>
            <w:color w:val="7F7F7F" w:themeColor="background1" w:themeShade="7F"/>
            <w:spacing w:val="60"/>
          </w:rPr>
          <w:t>Page</w:t>
        </w:r>
      </w:p>
    </w:sdtContent>
  </w:sdt>
  <w:p w:rsidR="00896BEF" w:rsidRDefault="00896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EF" w:rsidRDefault="00896BEF" w:rsidP="00573675">
      <w:pPr>
        <w:spacing w:after="0" w:line="240" w:lineRule="auto"/>
      </w:pPr>
      <w:r>
        <w:separator/>
      </w:r>
    </w:p>
  </w:footnote>
  <w:footnote w:type="continuationSeparator" w:id="0">
    <w:p w:rsidR="00896BEF" w:rsidRDefault="00896BEF" w:rsidP="005736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C0A"/>
    <w:multiLevelType w:val="hybridMultilevel"/>
    <w:tmpl w:val="0526D0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9AF3067"/>
    <w:multiLevelType w:val="hybridMultilevel"/>
    <w:tmpl w:val="A3DE26B8"/>
    <w:lvl w:ilvl="0" w:tplc="57803924">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25690"/>
    <w:multiLevelType w:val="hybridMultilevel"/>
    <w:tmpl w:val="3E7A2D3C"/>
    <w:lvl w:ilvl="0" w:tplc="9B34B4FC">
      <w:start w:val="1"/>
      <w:numFmt w:val="decimal"/>
      <w:lvlText w:val="%1."/>
      <w:lvlJc w:val="left"/>
      <w:pPr>
        <w:tabs>
          <w:tab w:val="num" w:pos="720"/>
        </w:tabs>
        <w:ind w:left="720" w:hanging="360"/>
      </w:pPr>
    </w:lvl>
    <w:lvl w:ilvl="1" w:tplc="9A8670B6">
      <w:start w:val="1"/>
      <w:numFmt w:val="decimal"/>
      <w:lvlText w:val="%2."/>
      <w:lvlJc w:val="left"/>
      <w:pPr>
        <w:tabs>
          <w:tab w:val="num" w:pos="1440"/>
        </w:tabs>
        <w:ind w:left="1440" w:hanging="360"/>
      </w:pPr>
    </w:lvl>
    <w:lvl w:ilvl="2" w:tplc="7818CD9E">
      <w:start w:val="1"/>
      <w:numFmt w:val="decimal"/>
      <w:lvlText w:val="%3."/>
      <w:lvlJc w:val="left"/>
      <w:pPr>
        <w:tabs>
          <w:tab w:val="num" w:pos="2160"/>
        </w:tabs>
        <w:ind w:left="2160" w:hanging="360"/>
      </w:pPr>
    </w:lvl>
    <w:lvl w:ilvl="3" w:tplc="DDAC8D5C" w:tentative="1">
      <w:start w:val="1"/>
      <w:numFmt w:val="decimal"/>
      <w:lvlText w:val="%4."/>
      <w:lvlJc w:val="left"/>
      <w:pPr>
        <w:tabs>
          <w:tab w:val="num" w:pos="2880"/>
        </w:tabs>
        <w:ind w:left="2880" w:hanging="360"/>
      </w:pPr>
    </w:lvl>
    <w:lvl w:ilvl="4" w:tplc="A3488D02" w:tentative="1">
      <w:start w:val="1"/>
      <w:numFmt w:val="decimal"/>
      <w:lvlText w:val="%5."/>
      <w:lvlJc w:val="left"/>
      <w:pPr>
        <w:tabs>
          <w:tab w:val="num" w:pos="3600"/>
        </w:tabs>
        <w:ind w:left="3600" w:hanging="360"/>
      </w:pPr>
    </w:lvl>
    <w:lvl w:ilvl="5" w:tplc="2BAA845C" w:tentative="1">
      <w:start w:val="1"/>
      <w:numFmt w:val="decimal"/>
      <w:lvlText w:val="%6."/>
      <w:lvlJc w:val="left"/>
      <w:pPr>
        <w:tabs>
          <w:tab w:val="num" w:pos="4320"/>
        </w:tabs>
        <w:ind w:left="4320" w:hanging="360"/>
      </w:pPr>
    </w:lvl>
    <w:lvl w:ilvl="6" w:tplc="4306C666" w:tentative="1">
      <w:start w:val="1"/>
      <w:numFmt w:val="decimal"/>
      <w:lvlText w:val="%7."/>
      <w:lvlJc w:val="left"/>
      <w:pPr>
        <w:tabs>
          <w:tab w:val="num" w:pos="5040"/>
        </w:tabs>
        <w:ind w:left="5040" w:hanging="360"/>
      </w:pPr>
    </w:lvl>
    <w:lvl w:ilvl="7" w:tplc="BAFE54DC" w:tentative="1">
      <w:start w:val="1"/>
      <w:numFmt w:val="decimal"/>
      <w:lvlText w:val="%8."/>
      <w:lvlJc w:val="left"/>
      <w:pPr>
        <w:tabs>
          <w:tab w:val="num" w:pos="5760"/>
        </w:tabs>
        <w:ind w:left="5760" w:hanging="360"/>
      </w:pPr>
    </w:lvl>
    <w:lvl w:ilvl="8" w:tplc="D62A98C4" w:tentative="1">
      <w:start w:val="1"/>
      <w:numFmt w:val="decimal"/>
      <w:lvlText w:val="%9."/>
      <w:lvlJc w:val="left"/>
      <w:pPr>
        <w:tabs>
          <w:tab w:val="num" w:pos="6480"/>
        </w:tabs>
        <w:ind w:left="6480" w:hanging="360"/>
      </w:pPr>
    </w:lvl>
  </w:abstractNum>
  <w:abstractNum w:abstractNumId="3">
    <w:nsid w:val="31EC6B70"/>
    <w:multiLevelType w:val="hybridMultilevel"/>
    <w:tmpl w:val="7DE89690"/>
    <w:lvl w:ilvl="0" w:tplc="C53C17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62B2C0D"/>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14527"/>
    <w:multiLevelType w:val="hybridMultilevel"/>
    <w:tmpl w:val="5548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87EAF"/>
    <w:multiLevelType w:val="hybridMultilevel"/>
    <w:tmpl w:val="16AE5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E6"/>
    <w:rsid w:val="00002862"/>
    <w:rsid w:val="000349EA"/>
    <w:rsid w:val="00051860"/>
    <w:rsid w:val="00054941"/>
    <w:rsid w:val="00083AE7"/>
    <w:rsid w:val="000A4D34"/>
    <w:rsid w:val="000C3814"/>
    <w:rsid w:val="00133817"/>
    <w:rsid w:val="001570BA"/>
    <w:rsid w:val="001A51F7"/>
    <w:rsid w:val="001C4576"/>
    <w:rsid w:val="001F426C"/>
    <w:rsid w:val="00214619"/>
    <w:rsid w:val="00220C13"/>
    <w:rsid w:val="00245725"/>
    <w:rsid w:val="002B571E"/>
    <w:rsid w:val="00312AAA"/>
    <w:rsid w:val="0032798E"/>
    <w:rsid w:val="003363FA"/>
    <w:rsid w:val="00353E48"/>
    <w:rsid w:val="003857C5"/>
    <w:rsid w:val="00405163"/>
    <w:rsid w:val="00433477"/>
    <w:rsid w:val="004910F9"/>
    <w:rsid w:val="00496FC5"/>
    <w:rsid w:val="004A43F8"/>
    <w:rsid w:val="004B2638"/>
    <w:rsid w:val="004E7225"/>
    <w:rsid w:val="00501EEA"/>
    <w:rsid w:val="00502844"/>
    <w:rsid w:val="00533072"/>
    <w:rsid w:val="00556307"/>
    <w:rsid w:val="00571263"/>
    <w:rsid w:val="00573675"/>
    <w:rsid w:val="005E3B17"/>
    <w:rsid w:val="005F0668"/>
    <w:rsid w:val="00664EA8"/>
    <w:rsid w:val="00684B72"/>
    <w:rsid w:val="006A10D2"/>
    <w:rsid w:val="006A296B"/>
    <w:rsid w:val="006C3DE9"/>
    <w:rsid w:val="00722A23"/>
    <w:rsid w:val="00723C58"/>
    <w:rsid w:val="0074304F"/>
    <w:rsid w:val="00790F18"/>
    <w:rsid w:val="007B033E"/>
    <w:rsid w:val="007B16C0"/>
    <w:rsid w:val="008308AC"/>
    <w:rsid w:val="00844AC7"/>
    <w:rsid w:val="0088710C"/>
    <w:rsid w:val="00896BEF"/>
    <w:rsid w:val="00897875"/>
    <w:rsid w:val="008B12CD"/>
    <w:rsid w:val="00905759"/>
    <w:rsid w:val="00921A22"/>
    <w:rsid w:val="009A3EE2"/>
    <w:rsid w:val="00A16A76"/>
    <w:rsid w:val="00AB5A48"/>
    <w:rsid w:val="00AC2734"/>
    <w:rsid w:val="00AF02FC"/>
    <w:rsid w:val="00B34A6A"/>
    <w:rsid w:val="00B5272C"/>
    <w:rsid w:val="00B966E5"/>
    <w:rsid w:val="00BA63A2"/>
    <w:rsid w:val="00BC120F"/>
    <w:rsid w:val="00C01360"/>
    <w:rsid w:val="00C027B1"/>
    <w:rsid w:val="00C27360"/>
    <w:rsid w:val="00C3444E"/>
    <w:rsid w:val="00C442F5"/>
    <w:rsid w:val="00C81D66"/>
    <w:rsid w:val="00CA029A"/>
    <w:rsid w:val="00CB40C3"/>
    <w:rsid w:val="00D47C5C"/>
    <w:rsid w:val="00DB0190"/>
    <w:rsid w:val="00DC2516"/>
    <w:rsid w:val="00DE30D4"/>
    <w:rsid w:val="00DF4C7A"/>
    <w:rsid w:val="00E37A1A"/>
    <w:rsid w:val="00E4079A"/>
    <w:rsid w:val="00E47FE6"/>
    <w:rsid w:val="00E60D5D"/>
    <w:rsid w:val="00E71508"/>
    <w:rsid w:val="00E75F81"/>
    <w:rsid w:val="00E915D4"/>
    <w:rsid w:val="00E943D2"/>
    <w:rsid w:val="00EE4B33"/>
    <w:rsid w:val="00F00B8C"/>
    <w:rsid w:val="00F023CF"/>
    <w:rsid w:val="00F23E10"/>
    <w:rsid w:val="00F44A57"/>
    <w:rsid w:val="00F46C9A"/>
    <w:rsid w:val="00F91542"/>
    <w:rsid w:val="00FB05D9"/>
    <w:rsid w:val="00FB3388"/>
    <w:rsid w:val="00FD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3000-E608-40F6-9C14-2395BD55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F9"/>
    <w:pPr>
      <w:ind w:left="720"/>
      <w:contextualSpacing/>
    </w:pPr>
  </w:style>
  <w:style w:type="paragraph" w:styleId="Header">
    <w:name w:val="header"/>
    <w:basedOn w:val="Normal"/>
    <w:link w:val="HeaderChar"/>
    <w:uiPriority w:val="99"/>
    <w:unhideWhenUsed/>
    <w:rsid w:val="005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75"/>
  </w:style>
  <w:style w:type="paragraph" w:styleId="Footer">
    <w:name w:val="footer"/>
    <w:basedOn w:val="Normal"/>
    <w:link w:val="FooterChar"/>
    <w:uiPriority w:val="99"/>
    <w:unhideWhenUsed/>
    <w:rsid w:val="005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75"/>
  </w:style>
  <w:style w:type="character" w:customStyle="1" w:styleId="Heading1Char">
    <w:name w:val="Heading 1 Char"/>
    <w:basedOn w:val="DefaultParagraphFont"/>
    <w:link w:val="Heading1"/>
    <w:uiPriority w:val="9"/>
    <w:rsid w:val="0057367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73675"/>
    <w:pPr>
      <w:outlineLvl w:val="9"/>
    </w:pPr>
  </w:style>
  <w:style w:type="paragraph" w:styleId="TOC1">
    <w:name w:val="toc 1"/>
    <w:basedOn w:val="Normal"/>
    <w:next w:val="Normal"/>
    <w:autoRedefine/>
    <w:uiPriority w:val="39"/>
    <w:unhideWhenUsed/>
    <w:rsid w:val="00573675"/>
    <w:pPr>
      <w:spacing w:after="100"/>
    </w:pPr>
  </w:style>
  <w:style w:type="character" w:styleId="Hyperlink">
    <w:name w:val="Hyperlink"/>
    <w:basedOn w:val="DefaultParagraphFont"/>
    <w:uiPriority w:val="99"/>
    <w:unhideWhenUsed/>
    <w:rsid w:val="00573675"/>
    <w:rPr>
      <w:color w:val="0563C1" w:themeColor="hyperlink"/>
      <w:u w:val="single"/>
    </w:rPr>
  </w:style>
  <w:style w:type="character" w:styleId="FollowedHyperlink">
    <w:name w:val="FollowedHyperlink"/>
    <w:basedOn w:val="DefaultParagraphFont"/>
    <w:uiPriority w:val="99"/>
    <w:semiHidden/>
    <w:unhideWhenUsed/>
    <w:rsid w:val="00AC2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21069">
      <w:bodyDiv w:val="1"/>
      <w:marLeft w:val="0"/>
      <w:marRight w:val="0"/>
      <w:marTop w:val="0"/>
      <w:marBottom w:val="0"/>
      <w:divBdr>
        <w:top w:val="none" w:sz="0" w:space="0" w:color="auto"/>
        <w:left w:val="none" w:sz="0" w:space="0" w:color="auto"/>
        <w:bottom w:val="none" w:sz="0" w:space="0" w:color="auto"/>
        <w:right w:val="none" w:sz="0" w:space="0" w:color="auto"/>
      </w:divBdr>
      <w:divsChild>
        <w:div w:id="1509556957">
          <w:marLeft w:val="1987"/>
          <w:marRight w:val="0"/>
          <w:marTop w:val="200"/>
          <w:marBottom w:val="0"/>
          <w:divBdr>
            <w:top w:val="none" w:sz="0" w:space="0" w:color="auto"/>
            <w:left w:val="none" w:sz="0" w:space="0" w:color="auto"/>
            <w:bottom w:val="none" w:sz="0" w:space="0" w:color="auto"/>
            <w:right w:val="none" w:sz="0" w:space="0" w:color="auto"/>
          </w:divBdr>
        </w:div>
        <w:div w:id="1134104277">
          <w:marLeft w:val="1987"/>
          <w:marRight w:val="0"/>
          <w:marTop w:val="200"/>
          <w:marBottom w:val="0"/>
          <w:divBdr>
            <w:top w:val="none" w:sz="0" w:space="0" w:color="auto"/>
            <w:left w:val="none" w:sz="0" w:space="0" w:color="auto"/>
            <w:bottom w:val="none" w:sz="0" w:space="0" w:color="auto"/>
            <w:right w:val="none" w:sz="0" w:space="0" w:color="auto"/>
          </w:divBdr>
        </w:div>
        <w:div w:id="545995044">
          <w:marLeft w:val="1987"/>
          <w:marRight w:val="0"/>
          <w:marTop w:val="200"/>
          <w:marBottom w:val="0"/>
          <w:divBdr>
            <w:top w:val="none" w:sz="0" w:space="0" w:color="auto"/>
            <w:left w:val="none" w:sz="0" w:space="0" w:color="auto"/>
            <w:bottom w:val="none" w:sz="0" w:space="0" w:color="auto"/>
            <w:right w:val="none" w:sz="0" w:space="0" w:color="auto"/>
          </w:divBdr>
        </w:div>
      </w:divsChild>
    </w:div>
    <w:div w:id="8093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mywtcs.wtcsystem.edu/data-systems-grp/data-system-manuals/client-reporting-syste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diagramQuickStyle" Target="diagrams/quickStyle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37B1FF-BFD8-4529-9986-AE48D680E606}"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US"/>
        </a:p>
      </dgm:t>
    </dgm:pt>
    <dgm:pt modelId="{69BD4679-3FC4-4B2E-9A7E-1848F1BDA896}">
      <dgm:prSet phldrT="[Text]"/>
      <dgm:spPr>
        <a:solidFill>
          <a:schemeClr val="accent6"/>
        </a:solidFill>
        <a:ln>
          <a:solidFill>
            <a:schemeClr val="tx1"/>
          </a:solidFill>
        </a:ln>
      </dgm:spPr>
      <dgm:t>
        <a:bodyPr/>
        <a:lstStyle/>
        <a:p>
          <a:r>
            <a:rPr lang="en-US"/>
            <a:t>Program Record / Transfer Record Measures</a:t>
          </a:r>
        </a:p>
      </dgm:t>
    </dgm:pt>
    <dgm:pt modelId="{96EB8E6C-83AB-4D15-84C5-3C1663EBF330}" type="parTrans" cxnId="{CC104D48-4009-4493-AF9A-E611AA2D0609}">
      <dgm:prSet/>
      <dgm:spPr/>
      <dgm:t>
        <a:bodyPr/>
        <a:lstStyle/>
        <a:p>
          <a:endParaRPr lang="en-US"/>
        </a:p>
      </dgm:t>
    </dgm:pt>
    <dgm:pt modelId="{AC9374F9-9DFC-4CA7-9DD6-BB09860AF982}" type="sibTrans" cxnId="{CC104D48-4009-4493-AF9A-E611AA2D0609}">
      <dgm:prSet/>
      <dgm:spPr/>
      <dgm:t>
        <a:bodyPr/>
        <a:lstStyle/>
        <a:p>
          <a:endParaRPr lang="en-US"/>
        </a:p>
      </dgm:t>
    </dgm:pt>
    <dgm:pt modelId="{AEF03BA9-D5DD-41ED-ACDA-A024E215190C}">
      <dgm:prSet phldrT="[Text]"/>
      <dgm:spPr>
        <a:ln>
          <a:solidFill>
            <a:schemeClr val="tx1"/>
          </a:solidFill>
        </a:ln>
      </dgm:spPr>
      <dgm:t>
        <a:bodyPr/>
        <a:lstStyle/>
        <a:p>
          <a:r>
            <a:rPr lang="en-US"/>
            <a:t>Client Demographics</a:t>
          </a:r>
        </a:p>
      </dgm:t>
    </dgm:pt>
    <dgm:pt modelId="{65823B79-A0B2-4F7C-91B3-769895E7CF59}" type="parTrans" cxnId="{81068CC1-F079-42AC-BB10-E8CA0CA7F99D}">
      <dgm:prSet/>
      <dgm:spPr/>
      <dgm:t>
        <a:bodyPr/>
        <a:lstStyle/>
        <a:p>
          <a:endParaRPr lang="en-US"/>
        </a:p>
      </dgm:t>
    </dgm:pt>
    <dgm:pt modelId="{84BEA254-0520-4B3D-A3DA-BA79AC46FB2B}" type="sibTrans" cxnId="{81068CC1-F079-42AC-BB10-E8CA0CA7F99D}">
      <dgm:prSet/>
      <dgm:spPr/>
      <dgm:t>
        <a:bodyPr/>
        <a:lstStyle/>
        <a:p>
          <a:endParaRPr lang="en-US"/>
        </a:p>
      </dgm:t>
    </dgm:pt>
    <dgm:pt modelId="{FC819373-8E60-4941-B4CF-099B19637B98}">
      <dgm:prSet phldrT="[Text]"/>
      <dgm:spPr>
        <a:ln>
          <a:solidFill>
            <a:schemeClr val="tx1"/>
          </a:solidFill>
        </a:ln>
      </dgm:spPr>
      <dgm:t>
        <a:bodyPr/>
        <a:lstStyle/>
        <a:p>
          <a:r>
            <a:rPr lang="en-US"/>
            <a:t>Fiscal Year</a:t>
          </a:r>
        </a:p>
      </dgm:t>
    </dgm:pt>
    <dgm:pt modelId="{D62D549A-0C20-45D3-A5A4-653946154FCF}" type="parTrans" cxnId="{8D870C8A-1AEE-4E64-A405-C0BD850F6501}">
      <dgm:prSet/>
      <dgm:spPr/>
      <dgm:t>
        <a:bodyPr/>
        <a:lstStyle/>
        <a:p>
          <a:endParaRPr lang="en-US"/>
        </a:p>
      </dgm:t>
    </dgm:pt>
    <dgm:pt modelId="{C7D8135D-72F2-437E-9822-C430D93A68D0}" type="sibTrans" cxnId="{8D870C8A-1AEE-4E64-A405-C0BD850F6501}">
      <dgm:prSet/>
      <dgm:spPr/>
      <dgm:t>
        <a:bodyPr/>
        <a:lstStyle/>
        <a:p>
          <a:endParaRPr lang="en-US"/>
        </a:p>
      </dgm:t>
    </dgm:pt>
    <dgm:pt modelId="{43D5C120-EB89-4802-9764-7AF8783456E6}">
      <dgm:prSet phldrT="[Text]"/>
      <dgm:spPr>
        <a:ln>
          <a:solidFill>
            <a:schemeClr val="tx1"/>
          </a:solidFill>
        </a:ln>
      </dgm:spPr>
      <dgm:t>
        <a:bodyPr/>
        <a:lstStyle/>
        <a:p>
          <a:r>
            <a:rPr lang="en-US"/>
            <a:t>Program</a:t>
          </a:r>
        </a:p>
      </dgm:t>
    </dgm:pt>
    <dgm:pt modelId="{815E8134-C3BF-4700-9D9F-E875F2309739}" type="parTrans" cxnId="{2DD05652-7E08-44EB-95FC-88FCA9E0B892}">
      <dgm:prSet/>
      <dgm:spPr/>
      <dgm:t>
        <a:bodyPr/>
        <a:lstStyle/>
        <a:p>
          <a:endParaRPr lang="en-US"/>
        </a:p>
      </dgm:t>
    </dgm:pt>
    <dgm:pt modelId="{7671F464-1E83-46F5-8027-1ECC9DA1664B}" type="sibTrans" cxnId="{2DD05652-7E08-44EB-95FC-88FCA9E0B892}">
      <dgm:prSet/>
      <dgm:spPr/>
      <dgm:t>
        <a:bodyPr/>
        <a:lstStyle/>
        <a:p>
          <a:endParaRPr lang="en-US"/>
        </a:p>
      </dgm:t>
    </dgm:pt>
    <dgm:pt modelId="{8930DA2E-BF51-46F7-8068-F1CE729A7086}">
      <dgm:prSet phldrT="[Text]"/>
      <dgm:spPr>
        <a:ln>
          <a:solidFill>
            <a:schemeClr val="tx1"/>
          </a:solidFill>
        </a:ln>
      </dgm:spPr>
      <dgm:t>
        <a:bodyPr/>
        <a:lstStyle/>
        <a:p>
          <a:r>
            <a:rPr lang="en-US"/>
            <a:t>Districts</a:t>
          </a:r>
        </a:p>
      </dgm:t>
    </dgm:pt>
    <dgm:pt modelId="{DEF3F9FB-CE4C-4A2E-95B4-4366EA127E46}" type="parTrans" cxnId="{3DF08DF5-24BE-4964-BCCE-A0522FC52324}">
      <dgm:prSet/>
      <dgm:spPr/>
      <dgm:t>
        <a:bodyPr/>
        <a:lstStyle/>
        <a:p>
          <a:endParaRPr lang="en-US"/>
        </a:p>
      </dgm:t>
    </dgm:pt>
    <dgm:pt modelId="{A0B0CE85-D381-4942-A53F-7D409E1BCA3D}" type="sibTrans" cxnId="{3DF08DF5-24BE-4964-BCCE-A0522FC52324}">
      <dgm:prSet/>
      <dgm:spPr/>
      <dgm:t>
        <a:bodyPr/>
        <a:lstStyle/>
        <a:p>
          <a:endParaRPr lang="en-US"/>
        </a:p>
      </dgm:t>
    </dgm:pt>
    <dgm:pt modelId="{167CA147-5447-4B26-A3D6-0A60B373ADAD}">
      <dgm:prSet phldrT="[Text]"/>
      <dgm:spPr>
        <a:ln>
          <a:solidFill>
            <a:schemeClr val="tx1"/>
          </a:solidFill>
        </a:ln>
      </dgm:spPr>
      <dgm:t>
        <a:bodyPr/>
        <a:lstStyle/>
        <a:p>
          <a:r>
            <a:rPr lang="en-US"/>
            <a:t>Program Enrollee or Graduate</a:t>
          </a:r>
        </a:p>
      </dgm:t>
    </dgm:pt>
    <dgm:pt modelId="{C4B39472-1AE8-44CC-9E73-FE6959822CDE}" type="parTrans" cxnId="{2CFC4F17-A837-4D35-9F3A-4AC9F139FFA6}">
      <dgm:prSet/>
      <dgm:spPr/>
      <dgm:t>
        <a:bodyPr/>
        <a:lstStyle/>
        <a:p>
          <a:endParaRPr lang="en-US"/>
        </a:p>
      </dgm:t>
    </dgm:pt>
    <dgm:pt modelId="{DBA8147B-7007-47C6-8B39-E79630AE7A82}" type="sibTrans" cxnId="{2CFC4F17-A837-4D35-9F3A-4AC9F139FFA6}">
      <dgm:prSet/>
      <dgm:spPr/>
      <dgm:t>
        <a:bodyPr/>
        <a:lstStyle/>
        <a:p>
          <a:endParaRPr lang="en-US"/>
        </a:p>
      </dgm:t>
    </dgm:pt>
    <dgm:pt modelId="{268D61DB-E0B3-4484-95D9-E56680F7F014}">
      <dgm:prSet phldrT="[Text]"/>
      <dgm:spPr>
        <a:ln>
          <a:solidFill>
            <a:schemeClr val="tx1"/>
          </a:solidFill>
        </a:ln>
      </dgm:spPr>
      <dgm:t>
        <a:bodyPr/>
        <a:lstStyle/>
        <a:p>
          <a:r>
            <a:rPr lang="en-US"/>
            <a:t>Transfer Institution</a:t>
          </a:r>
        </a:p>
      </dgm:t>
    </dgm:pt>
    <dgm:pt modelId="{9706C7D8-088A-467C-895C-6930EB69A45A}" type="parTrans" cxnId="{79E86F1A-E73D-49D9-A796-C6B957880B05}">
      <dgm:prSet/>
      <dgm:spPr/>
      <dgm:t>
        <a:bodyPr/>
        <a:lstStyle/>
        <a:p>
          <a:endParaRPr lang="en-US"/>
        </a:p>
      </dgm:t>
    </dgm:pt>
    <dgm:pt modelId="{7D0D8030-F9FF-47B0-8433-15A984A9C746}" type="sibTrans" cxnId="{79E86F1A-E73D-49D9-A796-C6B957880B05}">
      <dgm:prSet/>
      <dgm:spPr/>
    </dgm:pt>
    <dgm:pt modelId="{83B34EAC-CFB7-40D9-BE65-D1407533445F}">
      <dgm:prSet phldrT="[Text]"/>
      <dgm:spPr>
        <a:ln>
          <a:solidFill>
            <a:schemeClr val="tx1"/>
          </a:solidFill>
        </a:ln>
      </dgm:spPr>
      <dgm:t>
        <a:bodyPr/>
        <a:lstStyle/>
        <a:p>
          <a:r>
            <a:rPr lang="en-US"/>
            <a:t>Transfer Program</a:t>
          </a:r>
        </a:p>
      </dgm:t>
    </dgm:pt>
    <dgm:pt modelId="{081599C3-1DC1-429C-AAEA-C40A350F3A92}" type="parTrans" cxnId="{09A76268-914A-4E69-9FE4-87900033A2BF}">
      <dgm:prSet/>
      <dgm:spPr/>
      <dgm:t>
        <a:bodyPr/>
        <a:lstStyle/>
        <a:p>
          <a:endParaRPr lang="en-US"/>
        </a:p>
      </dgm:t>
    </dgm:pt>
    <dgm:pt modelId="{C99542A8-891A-43DF-B5D8-88B823AFD0B8}" type="sibTrans" cxnId="{09A76268-914A-4E69-9FE4-87900033A2BF}">
      <dgm:prSet/>
      <dgm:spPr/>
    </dgm:pt>
    <dgm:pt modelId="{617788FF-9E65-4C60-BF92-BA93DEE6E6D2}" type="pres">
      <dgm:prSet presAssocID="{2237B1FF-BFD8-4529-9986-AE48D680E606}" presName="Name0" presStyleCnt="0">
        <dgm:presLayoutVars>
          <dgm:chPref val="1"/>
          <dgm:dir/>
          <dgm:animOne val="branch"/>
          <dgm:animLvl val="lvl"/>
          <dgm:resizeHandles val="exact"/>
        </dgm:presLayoutVars>
      </dgm:prSet>
      <dgm:spPr/>
      <dgm:t>
        <a:bodyPr/>
        <a:lstStyle/>
        <a:p>
          <a:endParaRPr lang="en-US"/>
        </a:p>
      </dgm:t>
    </dgm:pt>
    <dgm:pt modelId="{610380A5-118E-4212-83E4-0C65E18BE176}" type="pres">
      <dgm:prSet presAssocID="{69BD4679-3FC4-4B2E-9A7E-1848F1BDA896}" presName="root1" presStyleCnt="0"/>
      <dgm:spPr/>
    </dgm:pt>
    <dgm:pt modelId="{7E0F4144-F534-4E25-A050-60B931936FDC}" type="pres">
      <dgm:prSet presAssocID="{69BD4679-3FC4-4B2E-9A7E-1848F1BDA896}" presName="LevelOneTextNode" presStyleLbl="node0" presStyleIdx="0" presStyleCnt="1" custAng="5400000" custScaleX="120750" custScaleY="39006" custLinFactX="-100000" custLinFactNeighborX="-131751" custLinFactNeighborY="-347">
        <dgm:presLayoutVars>
          <dgm:chPref val="3"/>
        </dgm:presLayoutVars>
      </dgm:prSet>
      <dgm:spPr/>
      <dgm:t>
        <a:bodyPr/>
        <a:lstStyle/>
        <a:p>
          <a:endParaRPr lang="en-US"/>
        </a:p>
      </dgm:t>
    </dgm:pt>
    <dgm:pt modelId="{6B34EDD0-A0B9-47F5-BF62-C37D031A721C}" type="pres">
      <dgm:prSet presAssocID="{69BD4679-3FC4-4B2E-9A7E-1848F1BDA896}" presName="level2hierChild" presStyleCnt="0"/>
      <dgm:spPr/>
    </dgm:pt>
    <dgm:pt modelId="{80105809-0874-466F-A349-4943DBDDDC10}" type="pres">
      <dgm:prSet presAssocID="{65823B79-A0B2-4F7C-91B3-769895E7CF59}" presName="conn2-1" presStyleLbl="parChTrans1D2" presStyleIdx="0" presStyleCnt="7"/>
      <dgm:spPr/>
      <dgm:t>
        <a:bodyPr/>
        <a:lstStyle/>
        <a:p>
          <a:endParaRPr lang="en-US"/>
        </a:p>
      </dgm:t>
    </dgm:pt>
    <dgm:pt modelId="{2FEC4600-1740-45BB-8756-84A8EF10AC33}" type="pres">
      <dgm:prSet presAssocID="{65823B79-A0B2-4F7C-91B3-769895E7CF59}" presName="connTx" presStyleLbl="parChTrans1D2" presStyleIdx="0" presStyleCnt="7"/>
      <dgm:spPr/>
      <dgm:t>
        <a:bodyPr/>
        <a:lstStyle/>
        <a:p>
          <a:endParaRPr lang="en-US"/>
        </a:p>
      </dgm:t>
    </dgm:pt>
    <dgm:pt modelId="{2A1B8FC7-1C0C-4048-9E2D-E005ABFF79CB}" type="pres">
      <dgm:prSet presAssocID="{AEF03BA9-D5DD-41ED-ACDA-A024E215190C}" presName="root2" presStyleCnt="0"/>
      <dgm:spPr/>
    </dgm:pt>
    <dgm:pt modelId="{3B552645-015F-450C-B0DF-98A4E6D3DF42}" type="pres">
      <dgm:prSet presAssocID="{AEF03BA9-D5DD-41ED-ACDA-A024E215190C}" presName="LevelTwoTextNode" presStyleLbl="node2" presStyleIdx="0" presStyleCnt="7" custScaleX="58613" custScaleY="39472" custLinFactNeighborX="18828">
        <dgm:presLayoutVars>
          <dgm:chPref val="3"/>
        </dgm:presLayoutVars>
      </dgm:prSet>
      <dgm:spPr/>
      <dgm:t>
        <a:bodyPr/>
        <a:lstStyle/>
        <a:p>
          <a:endParaRPr lang="en-US"/>
        </a:p>
      </dgm:t>
    </dgm:pt>
    <dgm:pt modelId="{116A9856-6B64-4480-A0C1-B530098DAFC9}" type="pres">
      <dgm:prSet presAssocID="{AEF03BA9-D5DD-41ED-ACDA-A024E215190C}" presName="level3hierChild" presStyleCnt="0"/>
      <dgm:spPr/>
    </dgm:pt>
    <dgm:pt modelId="{6B5E0744-F0C2-4F8E-B566-0820B8774CE5}" type="pres">
      <dgm:prSet presAssocID="{DEF3F9FB-CE4C-4A2E-95B4-4366EA127E46}" presName="conn2-1" presStyleLbl="parChTrans1D2" presStyleIdx="1" presStyleCnt="7"/>
      <dgm:spPr/>
      <dgm:t>
        <a:bodyPr/>
        <a:lstStyle/>
        <a:p>
          <a:endParaRPr lang="en-US"/>
        </a:p>
      </dgm:t>
    </dgm:pt>
    <dgm:pt modelId="{30AFB02E-D77A-4B62-A566-8816A34EDC3E}" type="pres">
      <dgm:prSet presAssocID="{DEF3F9FB-CE4C-4A2E-95B4-4366EA127E46}" presName="connTx" presStyleLbl="parChTrans1D2" presStyleIdx="1" presStyleCnt="7"/>
      <dgm:spPr/>
      <dgm:t>
        <a:bodyPr/>
        <a:lstStyle/>
        <a:p>
          <a:endParaRPr lang="en-US"/>
        </a:p>
      </dgm:t>
    </dgm:pt>
    <dgm:pt modelId="{CDFA8701-BBE2-4FD9-BF63-CD1E81E13582}" type="pres">
      <dgm:prSet presAssocID="{8930DA2E-BF51-46F7-8068-F1CE729A7086}" presName="root2" presStyleCnt="0"/>
      <dgm:spPr/>
    </dgm:pt>
    <dgm:pt modelId="{EF2E1BDC-0184-4543-9FEC-2EE5A47279DA}" type="pres">
      <dgm:prSet presAssocID="{8930DA2E-BF51-46F7-8068-F1CE729A7086}" presName="LevelTwoTextNode" presStyleLbl="node2" presStyleIdx="1" presStyleCnt="7" custScaleX="58306" custScaleY="40217" custLinFactNeighborX="19059" custLinFactNeighborY="1008">
        <dgm:presLayoutVars>
          <dgm:chPref val="3"/>
        </dgm:presLayoutVars>
      </dgm:prSet>
      <dgm:spPr/>
      <dgm:t>
        <a:bodyPr/>
        <a:lstStyle/>
        <a:p>
          <a:endParaRPr lang="en-US"/>
        </a:p>
      </dgm:t>
    </dgm:pt>
    <dgm:pt modelId="{2CD2591F-B7D3-4E6F-90B8-FF1026AD88B3}" type="pres">
      <dgm:prSet presAssocID="{8930DA2E-BF51-46F7-8068-F1CE729A7086}" presName="level3hierChild" presStyleCnt="0"/>
      <dgm:spPr/>
    </dgm:pt>
    <dgm:pt modelId="{D7F268BE-F358-4EAB-9F80-F7A0104C6913}" type="pres">
      <dgm:prSet presAssocID="{D62D549A-0C20-45D3-A5A4-653946154FCF}" presName="conn2-1" presStyleLbl="parChTrans1D2" presStyleIdx="2" presStyleCnt="7"/>
      <dgm:spPr/>
      <dgm:t>
        <a:bodyPr/>
        <a:lstStyle/>
        <a:p>
          <a:endParaRPr lang="en-US"/>
        </a:p>
      </dgm:t>
    </dgm:pt>
    <dgm:pt modelId="{7B8006D8-F190-4FEE-9ECA-DC2FFB0D58F4}" type="pres">
      <dgm:prSet presAssocID="{D62D549A-0C20-45D3-A5A4-653946154FCF}" presName="connTx" presStyleLbl="parChTrans1D2" presStyleIdx="2" presStyleCnt="7"/>
      <dgm:spPr/>
      <dgm:t>
        <a:bodyPr/>
        <a:lstStyle/>
        <a:p>
          <a:endParaRPr lang="en-US"/>
        </a:p>
      </dgm:t>
    </dgm:pt>
    <dgm:pt modelId="{EF020BAD-C2E0-4CC1-87EC-B8021FCFE747}" type="pres">
      <dgm:prSet presAssocID="{FC819373-8E60-4941-B4CF-099B19637B98}" presName="root2" presStyleCnt="0"/>
      <dgm:spPr/>
    </dgm:pt>
    <dgm:pt modelId="{D096A9BD-6438-49CB-9D7E-691A2387FAEC}" type="pres">
      <dgm:prSet presAssocID="{FC819373-8E60-4941-B4CF-099B19637B98}" presName="LevelTwoTextNode" presStyleLbl="node2" presStyleIdx="2" presStyleCnt="7" custScaleX="58613" custScaleY="39472" custLinFactNeighborX="18828">
        <dgm:presLayoutVars>
          <dgm:chPref val="3"/>
        </dgm:presLayoutVars>
      </dgm:prSet>
      <dgm:spPr/>
      <dgm:t>
        <a:bodyPr/>
        <a:lstStyle/>
        <a:p>
          <a:endParaRPr lang="en-US"/>
        </a:p>
      </dgm:t>
    </dgm:pt>
    <dgm:pt modelId="{48C153C9-7BDE-4173-A813-C28A154A1296}" type="pres">
      <dgm:prSet presAssocID="{FC819373-8E60-4941-B4CF-099B19637B98}" presName="level3hierChild" presStyleCnt="0"/>
      <dgm:spPr/>
    </dgm:pt>
    <dgm:pt modelId="{395026F2-2210-49D8-B2F3-43FB870631F9}" type="pres">
      <dgm:prSet presAssocID="{815E8134-C3BF-4700-9D9F-E875F2309739}" presName="conn2-1" presStyleLbl="parChTrans1D2" presStyleIdx="3" presStyleCnt="7"/>
      <dgm:spPr/>
      <dgm:t>
        <a:bodyPr/>
        <a:lstStyle/>
        <a:p>
          <a:endParaRPr lang="en-US"/>
        </a:p>
      </dgm:t>
    </dgm:pt>
    <dgm:pt modelId="{AB7C6245-3CAF-4FD6-AD1C-EF618B730160}" type="pres">
      <dgm:prSet presAssocID="{815E8134-C3BF-4700-9D9F-E875F2309739}" presName="connTx" presStyleLbl="parChTrans1D2" presStyleIdx="3" presStyleCnt="7"/>
      <dgm:spPr/>
      <dgm:t>
        <a:bodyPr/>
        <a:lstStyle/>
        <a:p>
          <a:endParaRPr lang="en-US"/>
        </a:p>
      </dgm:t>
    </dgm:pt>
    <dgm:pt modelId="{97F3B651-9626-4EEF-AC72-C89E8B336C99}" type="pres">
      <dgm:prSet presAssocID="{43D5C120-EB89-4802-9764-7AF8783456E6}" presName="root2" presStyleCnt="0"/>
      <dgm:spPr/>
    </dgm:pt>
    <dgm:pt modelId="{CA9EF144-0405-4902-90FD-3E71C9543CF8}" type="pres">
      <dgm:prSet presAssocID="{43D5C120-EB89-4802-9764-7AF8783456E6}" presName="LevelTwoTextNode" presStyleLbl="node2" presStyleIdx="3" presStyleCnt="7" custScaleX="58613" custScaleY="39472" custLinFactNeighborX="18828">
        <dgm:presLayoutVars>
          <dgm:chPref val="3"/>
        </dgm:presLayoutVars>
      </dgm:prSet>
      <dgm:spPr/>
      <dgm:t>
        <a:bodyPr/>
        <a:lstStyle/>
        <a:p>
          <a:endParaRPr lang="en-US"/>
        </a:p>
      </dgm:t>
    </dgm:pt>
    <dgm:pt modelId="{E578A57C-C31A-45FC-855B-7699875CB6DD}" type="pres">
      <dgm:prSet presAssocID="{43D5C120-EB89-4802-9764-7AF8783456E6}" presName="level3hierChild" presStyleCnt="0"/>
      <dgm:spPr/>
    </dgm:pt>
    <dgm:pt modelId="{06E96C2E-0BF9-4CCA-84AB-B444DEB15B40}" type="pres">
      <dgm:prSet presAssocID="{C4B39472-1AE8-44CC-9E73-FE6959822CDE}" presName="conn2-1" presStyleLbl="parChTrans1D2" presStyleIdx="4" presStyleCnt="7"/>
      <dgm:spPr/>
      <dgm:t>
        <a:bodyPr/>
        <a:lstStyle/>
        <a:p>
          <a:endParaRPr lang="en-US"/>
        </a:p>
      </dgm:t>
    </dgm:pt>
    <dgm:pt modelId="{A19A2DD4-61B7-4649-9EA2-8882E9317612}" type="pres">
      <dgm:prSet presAssocID="{C4B39472-1AE8-44CC-9E73-FE6959822CDE}" presName="connTx" presStyleLbl="parChTrans1D2" presStyleIdx="4" presStyleCnt="7"/>
      <dgm:spPr/>
      <dgm:t>
        <a:bodyPr/>
        <a:lstStyle/>
        <a:p>
          <a:endParaRPr lang="en-US"/>
        </a:p>
      </dgm:t>
    </dgm:pt>
    <dgm:pt modelId="{B747A5F2-2107-4960-8F3D-E980FCE9A6D7}" type="pres">
      <dgm:prSet presAssocID="{167CA147-5447-4B26-A3D6-0A60B373ADAD}" presName="root2" presStyleCnt="0"/>
      <dgm:spPr/>
    </dgm:pt>
    <dgm:pt modelId="{45144AC6-5E6B-4E28-9B29-28256B0BAB68}" type="pres">
      <dgm:prSet presAssocID="{167CA147-5447-4B26-A3D6-0A60B373ADAD}" presName="LevelTwoTextNode" presStyleLbl="node2" presStyleIdx="4" presStyleCnt="7" custScaleX="58416" custScaleY="38749" custLinFactNeighborX="18905">
        <dgm:presLayoutVars>
          <dgm:chPref val="3"/>
        </dgm:presLayoutVars>
      </dgm:prSet>
      <dgm:spPr/>
      <dgm:t>
        <a:bodyPr/>
        <a:lstStyle/>
        <a:p>
          <a:endParaRPr lang="en-US"/>
        </a:p>
      </dgm:t>
    </dgm:pt>
    <dgm:pt modelId="{C0FCFB91-C5DE-45C7-BE57-2DB95D8DCAFF}" type="pres">
      <dgm:prSet presAssocID="{167CA147-5447-4B26-A3D6-0A60B373ADAD}" presName="level3hierChild" presStyleCnt="0"/>
      <dgm:spPr/>
    </dgm:pt>
    <dgm:pt modelId="{3EF29630-DE92-4317-AC9E-666B73016EAD}" type="pres">
      <dgm:prSet presAssocID="{9706C7D8-088A-467C-895C-6930EB69A45A}" presName="conn2-1" presStyleLbl="parChTrans1D2" presStyleIdx="5" presStyleCnt="7"/>
      <dgm:spPr/>
      <dgm:t>
        <a:bodyPr/>
        <a:lstStyle/>
        <a:p>
          <a:endParaRPr lang="en-US"/>
        </a:p>
      </dgm:t>
    </dgm:pt>
    <dgm:pt modelId="{B4C8375F-6C19-4440-A524-D7FF3ECF9DFE}" type="pres">
      <dgm:prSet presAssocID="{9706C7D8-088A-467C-895C-6930EB69A45A}" presName="connTx" presStyleLbl="parChTrans1D2" presStyleIdx="5" presStyleCnt="7"/>
      <dgm:spPr/>
      <dgm:t>
        <a:bodyPr/>
        <a:lstStyle/>
        <a:p>
          <a:endParaRPr lang="en-US"/>
        </a:p>
      </dgm:t>
    </dgm:pt>
    <dgm:pt modelId="{FCC6D73C-B07D-432B-ABF3-C46251B0DA84}" type="pres">
      <dgm:prSet presAssocID="{268D61DB-E0B3-4484-95D9-E56680F7F014}" presName="root2" presStyleCnt="0"/>
      <dgm:spPr/>
    </dgm:pt>
    <dgm:pt modelId="{F092F9F5-2BFD-4E4F-A181-E5F7E689E34A}" type="pres">
      <dgm:prSet presAssocID="{268D61DB-E0B3-4484-95D9-E56680F7F014}" presName="LevelTwoTextNode" presStyleLbl="node2" presStyleIdx="5" presStyleCnt="7" custScaleX="59213" custScaleY="44481" custLinFactNeighborX="20153" custLinFactNeighborY="1574">
        <dgm:presLayoutVars>
          <dgm:chPref val="3"/>
        </dgm:presLayoutVars>
      </dgm:prSet>
      <dgm:spPr/>
      <dgm:t>
        <a:bodyPr/>
        <a:lstStyle/>
        <a:p>
          <a:endParaRPr lang="en-US"/>
        </a:p>
      </dgm:t>
    </dgm:pt>
    <dgm:pt modelId="{353ECA8F-4B68-486F-9444-A3A80DEF3A10}" type="pres">
      <dgm:prSet presAssocID="{268D61DB-E0B3-4484-95D9-E56680F7F014}" presName="level3hierChild" presStyleCnt="0"/>
      <dgm:spPr/>
    </dgm:pt>
    <dgm:pt modelId="{3AF78504-D620-4EC8-A591-B9B6B495782B}" type="pres">
      <dgm:prSet presAssocID="{081599C3-1DC1-429C-AAEA-C40A350F3A92}" presName="conn2-1" presStyleLbl="parChTrans1D2" presStyleIdx="6" presStyleCnt="7"/>
      <dgm:spPr/>
      <dgm:t>
        <a:bodyPr/>
        <a:lstStyle/>
        <a:p>
          <a:endParaRPr lang="en-US"/>
        </a:p>
      </dgm:t>
    </dgm:pt>
    <dgm:pt modelId="{A216E1E8-4E2C-4C3D-B3E0-1337CCD06C21}" type="pres">
      <dgm:prSet presAssocID="{081599C3-1DC1-429C-AAEA-C40A350F3A92}" presName="connTx" presStyleLbl="parChTrans1D2" presStyleIdx="6" presStyleCnt="7"/>
      <dgm:spPr/>
      <dgm:t>
        <a:bodyPr/>
        <a:lstStyle/>
        <a:p>
          <a:endParaRPr lang="en-US"/>
        </a:p>
      </dgm:t>
    </dgm:pt>
    <dgm:pt modelId="{EFD6D140-5261-4695-9485-89C8AA01BDD2}" type="pres">
      <dgm:prSet presAssocID="{83B34EAC-CFB7-40D9-BE65-D1407533445F}" presName="root2" presStyleCnt="0"/>
      <dgm:spPr/>
    </dgm:pt>
    <dgm:pt modelId="{1041EB55-64C7-4230-BBD3-4CA7673341D1}" type="pres">
      <dgm:prSet presAssocID="{83B34EAC-CFB7-40D9-BE65-D1407533445F}" presName="LevelTwoTextNode" presStyleLbl="node2" presStyleIdx="6" presStyleCnt="7" custScaleX="61133" custScaleY="40931" custLinFactNeighborX="19194" custLinFactNeighborY="-3148">
        <dgm:presLayoutVars>
          <dgm:chPref val="3"/>
        </dgm:presLayoutVars>
      </dgm:prSet>
      <dgm:spPr/>
      <dgm:t>
        <a:bodyPr/>
        <a:lstStyle/>
        <a:p>
          <a:endParaRPr lang="en-US"/>
        </a:p>
      </dgm:t>
    </dgm:pt>
    <dgm:pt modelId="{F5B5A3E0-8EC3-486E-8511-4027F9577DD6}" type="pres">
      <dgm:prSet presAssocID="{83B34EAC-CFB7-40D9-BE65-D1407533445F}" presName="level3hierChild" presStyleCnt="0"/>
      <dgm:spPr/>
    </dgm:pt>
  </dgm:ptLst>
  <dgm:cxnLst>
    <dgm:cxn modelId="{5C84D24E-12D9-44E4-BD38-F5E66C05E2F2}" type="presOf" srcId="{815E8134-C3BF-4700-9D9F-E875F2309739}" destId="{395026F2-2210-49D8-B2F3-43FB870631F9}" srcOrd="0" destOrd="0" presId="urn:microsoft.com/office/officeart/2008/layout/HorizontalMultiLevelHierarchy"/>
    <dgm:cxn modelId="{87881823-95EE-400A-90F3-F5A6ABF65AFA}" type="presOf" srcId="{081599C3-1DC1-429C-AAEA-C40A350F3A92}" destId="{3AF78504-D620-4EC8-A591-B9B6B495782B}" srcOrd="0" destOrd="0" presId="urn:microsoft.com/office/officeart/2008/layout/HorizontalMultiLevelHierarchy"/>
    <dgm:cxn modelId="{E20B653B-B492-4CA9-BFA2-84E3FC8F8831}" type="presOf" srcId="{9706C7D8-088A-467C-895C-6930EB69A45A}" destId="{B4C8375F-6C19-4440-A524-D7FF3ECF9DFE}" srcOrd="1" destOrd="0" presId="urn:microsoft.com/office/officeart/2008/layout/HorizontalMultiLevelHierarchy"/>
    <dgm:cxn modelId="{80985A71-0E6A-43C8-891E-3D764790E63F}" type="presOf" srcId="{65823B79-A0B2-4F7C-91B3-769895E7CF59}" destId="{80105809-0874-466F-A349-4943DBDDDC10}" srcOrd="0" destOrd="0" presId="urn:microsoft.com/office/officeart/2008/layout/HorizontalMultiLevelHierarchy"/>
    <dgm:cxn modelId="{8D870C8A-1AEE-4E64-A405-C0BD850F6501}" srcId="{69BD4679-3FC4-4B2E-9A7E-1848F1BDA896}" destId="{FC819373-8E60-4941-B4CF-099B19637B98}" srcOrd="2" destOrd="0" parTransId="{D62D549A-0C20-45D3-A5A4-653946154FCF}" sibTransId="{C7D8135D-72F2-437E-9822-C430D93A68D0}"/>
    <dgm:cxn modelId="{1313D272-D293-4673-8839-A42AA69135E9}" type="presOf" srcId="{081599C3-1DC1-429C-AAEA-C40A350F3A92}" destId="{A216E1E8-4E2C-4C3D-B3E0-1337CCD06C21}" srcOrd="1" destOrd="0" presId="urn:microsoft.com/office/officeart/2008/layout/HorizontalMultiLevelHierarchy"/>
    <dgm:cxn modelId="{DAF77C6B-037E-4C99-B6AB-086B5D71D5DC}" type="presOf" srcId="{69BD4679-3FC4-4B2E-9A7E-1848F1BDA896}" destId="{7E0F4144-F534-4E25-A050-60B931936FDC}" srcOrd="0" destOrd="0" presId="urn:microsoft.com/office/officeart/2008/layout/HorizontalMultiLevelHierarchy"/>
    <dgm:cxn modelId="{81068CC1-F079-42AC-BB10-E8CA0CA7F99D}" srcId="{69BD4679-3FC4-4B2E-9A7E-1848F1BDA896}" destId="{AEF03BA9-D5DD-41ED-ACDA-A024E215190C}" srcOrd="0" destOrd="0" parTransId="{65823B79-A0B2-4F7C-91B3-769895E7CF59}" sibTransId="{84BEA254-0520-4B3D-A3DA-BA79AC46FB2B}"/>
    <dgm:cxn modelId="{E36FAD9F-6989-46E1-AA6A-FD6F4D5D2408}" type="presOf" srcId="{8930DA2E-BF51-46F7-8068-F1CE729A7086}" destId="{EF2E1BDC-0184-4543-9FEC-2EE5A47279DA}" srcOrd="0" destOrd="0" presId="urn:microsoft.com/office/officeart/2008/layout/HorizontalMultiLevelHierarchy"/>
    <dgm:cxn modelId="{CF382D1F-FC7C-4C52-B904-0D3FC7ED1EFD}" type="presOf" srcId="{C4B39472-1AE8-44CC-9E73-FE6959822CDE}" destId="{A19A2DD4-61B7-4649-9EA2-8882E9317612}" srcOrd="1" destOrd="0" presId="urn:microsoft.com/office/officeart/2008/layout/HorizontalMultiLevelHierarchy"/>
    <dgm:cxn modelId="{4D0BE8A6-28FA-4530-8E4D-281C364D0DF9}" type="presOf" srcId="{268D61DB-E0B3-4484-95D9-E56680F7F014}" destId="{F092F9F5-2BFD-4E4F-A181-E5F7E689E34A}" srcOrd="0" destOrd="0" presId="urn:microsoft.com/office/officeart/2008/layout/HorizontalMultiLevelHierarchy"/>
    <dgm:cxn modelId="{09A76268-914A-4E69-9FE4-87900033A2BF}" srcId="{69BD4679-3FC4-4B2E-9A7E-1848F1BDA896}" destId="{83B34EAC-CFB7-40D9-BE65-D1407533445F}" srcOrd="6" destOrd="0" parTransId="{081599C3-1DC1-429C-AAEA-C40A350F3A92}" sibTransId="{C99542A8-891A-43DF-B5D8-88B823AFD0B8}"/>
    <dgm:cxn modelId="{79E86F1A-E73D-49D9-A796-C6B957880B05}" srcId="{69BD4679-3FC4-4B2E-9A7E-1848F1BDA896}" destId="{268D61DB-E0B3-4484-95D9-E56680F7F014}" srcOrd="5" destOrd="0" parTransId="{9706C7D8-088A-467C-895C-6930EB69A45A}" sibTransId="{7D0D8030-F9FF-47B0-8433-15A984A9C746}"/>
    <dgm:cxn modelId="{479CCB33-2409-4564-8267-20284E56327A}" type="presOf" srcId="{43D5C120-EB89-4802-9764-7AF8783456E6}" destId="{CA9EF144-0405-4902-90FD-3E71C9543CF8}" srcOrd="0" destOrd="0" presId="urn:microsoft.com/office/officeart/2008/layout/HorizontalMultiLevelHierarchy"/>
    <dgm:cxn modelId="{EF3996CD-BB43-4DE8-B392-DB6F837E9EE6}" type="presOf" srcId="{D62D549A-0C20-45D3-A5A4-653946154FCF}" destId="{7B8006D8-F190-4FEE-9ECA-DC2FFB0D58F4}" srcOrd="1" destOrd="0" presId="urn:microsoft.com/office/officeart/2008/layout/HorizontalMultiLevelHierarchy"/>
    <dgm:cxn modelId="{F0B6EF3F-A171-444D-B90D-A12B211BD6F0}" type="presOf" srcId="{DEF3F9FB-CE4C-4A2E-95B4-4366EA127E46}" destId="{30AFB02E-D77A-4B62-A566-8816A34EDC3E}" srcOrd="1" destOrd="0" presId="urn:microsoft.com/office/officeart/2008/layout/HorizontalMultiLevelHierarchy"/>
    <dgm:cxn modelId="{19B4FE2F-683A-4E06-B200-6EC24D485B21}" type="presOf" srcId="{2237B1FF-BFD8-4529-9986-AE48D680E606}" destId="{617788FF-9E65-4C60-BF92-BA93DEE6E6D2}" srcOrd="0" destOrd="0" presId="urn:microsoft.com/office/officeart/2008/layout/HorizontalMultiLevelHierarchy"/>
    <dgm:cxn modelId="{8D885C87-D558-4EC6-B6CE-83F9F161D865}" type="presOf" srcId="{815E8134-C3BF-4700-9D9F-E875F2309739}" destId="{AB7C6245-3CAF-4FD6-AD1C-EF618B730160}" srcOrd="1" destOrd="0" presId="urn:microsoft.com/office/officeart/2008/layout/HorizontalMultiLevelHierarchy"/>
    <dgm:cxn modelId="{9C128A3A-766D-4651-9AD3-5F00FE69A231}" type="presOf" srcId="{D62D549A-0C20-45D3-A5A4-653946154FCF}" destId="{D7F268BE-F358-4EAB-9F80-F7A0104C6913}" srcOrd="0" destOrd="0" presId="urn:microsoft.com/office/officeart/2008/layout/HorizontalMultiLevelHierarchy"/>
    <dgm:cxn modelId="{2B7FF9F1-BD56-4BDF-A2FC-1CBED690F3F4}" type="presOf" srcId="{9706C7D8-088A-467C-895C-6930EB69A45A}" destId="{3EF29630-DE92-4317-AC9E-666B73016EAD}" srcOrd="0" destOrd="0" presId="urn:microsoft.com/office/officeart/2008/layout/HorizontalMultiLevelHierarchy"/>
    <dgm:cxn modelId="{4C003996-7DCE-48EF-AC87-FC5B13EA28BC}" type="presOf" srcId="{DEF3F9FB-CE4C-4A2E-95B4-4366EA127E46}" destId="{6B5E0744-F0C2-4F8E-B566-0820B8774CE5}" srcOrd="0" destOrd="0" presId="urn:microsoft.com/office/officeart/2008/layout/HorizontalMultiLevelHierarchy"/>
    <dgm:cxn modelId="{2CFC4F17-A837-4D35-9F3A-4AC9F139FFA6}" srcId="{69BD4679-3FC4-4B2E-9A7E-1848F1BDA896}" destId="{167CA147-5447-4B26-A3D6-0A60B373ADAD}" srcOrd="4" destOrd="0" parTransId="{C4B39472-1AE8-44CC-9E73-FE6959822CDE}" sibTransId="{DBA8147B-7007-47C6-8B39-E79630AE7A82}"/>
    <dgm:cxn modelId="{2DD05652-7E08-44EB-95FC-88FCA9E0B892}" srcId="{69BD4679-3FC4-4B2E-9A7E-1848F1BDA896}" destId="{43D5C120-EB89-4802-9764-7AF8783456E6}" srcOrd="3" destOrd="0" parTransId="{815E8134-C3BF-4700-9D9F-E875F2309739}" sibTransId="{7671F464-1E83-46F5-8027-1ECC9DA1664B}"/>
    <dgm:cxn modelId="{087F27A2-2C25-4224-8B17-C41156B2336B}" type="presOf" srcId="{65823B79-A0B2-4F7C-91B3-769895E7CF59}" destId="{2FEC4600-1740-45BB-8756-84A8EF10AC33}" srcOrd="1" destOrd="0" presId="urn:microsoft.com/office/officeart/2008/layout/HorizontalMultiLevelHierarchy"/>
    <dgm:cxn modelId="{DE7597D9-4598-4D88-9809-702E9C8DACAC}" type="presOf" srcId="{C4B39472-1AE8-44CC-9E73-FE6959822CDE}" destId="{06E96C2E-0BF9-4CCA-84AB-B444DEB15B40}" srcOrd="0" destOrd="0" presId="urn:microsoft.com/office/officeart/2008/layout/HorizontalMultiLevelHierarchy"/>
    <dgm:cxn modelId="{3DF08DF5-24BE-4964-BCCE-A0522FC52324}" srcId="{69BD4679-3FC4-4B2E-9A7E-1848F1BDA896}" destId="{8930DA2E-BF51-46F7-8068-F1CE729A7086}" srcOrd="1" destOrd="0" parTransId="{DEF3F9FB-CE4C-4A2E-95B4-4366EA127E46}" sibTransId="{A0B0CE85-D381-4942-A53F-7D409E1BCA3D}"/>
    <dgm:cxn modelId="{0C905CA4-4433-4E14-BCF8-2643877BB74A}" type="presOf" srcId="{FC819373-8E60-4941-B4CF-099B19637B98}" destId="{D096A9BD-6438-49CB-9D7E-691A2387FAEC}" srcOrd="0" destOrd="0" presId="urn:microsoft.com/office/officeart/2008/layout/HorizontalMultiLevelHierarchy"/>
    <dgm:cxn modelId="{034A90DF-15C9-4A86-8824-FCAF890BCBED}" type="presOf" srcId="{167CA147-5447-4B26-A3D6-0A60B373ADAD}" destId="{45144AC6-5E6B-4E28-9B29-28256B0BAB68}" srcOrd="0" destOrd="0" presId="urn:microsoft.com/office/officeart/2008/layout/HorizontalMultiLevelHierarchy"/>
    <dgm:cxn modelId="{546D3690-A052-4E6C-B193-9912F4E0602B}" type="presOf" srcId="{83B34EAC-CFB7-40D9-BE65-D1407533445F}" destId="{1041EB55-64C7-4230-BBD3-4CA7673341D1}" srcOrd="0" destOrd="0" presId="urn:microsoft.com/office/officeart/2008/layout/HorizontalMultiLevelHierarchy"/>
    <dgm:cxn modelId="{CC104D48-4009-4493-AF9A-E611AA2D0609}" srcId="{2237B1FF-BFD8-4529-9986-AE48D680E606}" destId="{69BD4679-3FC4-4B2E-9A7E-1848F1BDA896}" srcOrd="0" destOrd="0" parTransId="{96EB8E6C-83AB-4D15-84C5-3C1663EBF330}" sibTransId="{AC9374F9-9DFC-4CA7-9DD6-BB09860AF982}"/>
    <dgm:cxn modelId="{EB791B6E-403B-4D29-B272-9634B8C48C17}" type="presOf" srcId="{AEF03BA9-D5DD-41ED-ACDA-A024E215190C}" destId="{3B552645-015F-450C-B0DF-98A4E6D3DF42}" srcOrd="0" destOrd="0" presId="urn:microsoft.com/office/officeart/2008/layout/HorizontalMultiLevelHierarchy"/>
    <dgm:cxn modelId="{8227D57E-CFA7-48E0-B128-A5A523D81602}" type="presParOf" srcId="{617788FF-9E65-4C60-BF92-BA93DEE6E6D2}" destId="{610380A5-118E-4212-83E4-0C65E18BE176}" srcOrd="0" destOrd="0" presId="urn:microsoft.com/office/officeart/2008/layout/HorizontalMultiLevelHierarchy"/>
    <dgm:cxn modelId="{5F03E048-9EB2-491D-A29D-A45392F03FAE}" type="presParOf" srcId="{610380A5-118E-4212-83E4-0C65E18BE176}" destId="{7E0F4144-F534-4E25-A050-60B931936FDC}" srcOrd="0" destOrd="0" presId="urn:microsoft.com/office/officeart/2008/layout/HorizontalMultiLevelHierarchy"/>
    <dgm:cxn modelId="{FE1D9E81-2E08-4818-A76A-0E27324FD0F3}" type="presParOf" srcId="{610380A5-118E-4212-83E4-0C65E18BE176}" destId="{6B34EDD0-A0B9-47F5-BF62-C37D031A721C}" srcOrd="1" destOrd="0" presId="urn:microsoft.com/office/officeart/2008/layout/HorizontalMultiLevelHierarchy"/>
    <dgm:cxn modelId="{25DC7D47-74F7-4D66-85D2-BFF5409EF8E5}" type="presParOf" srcId="{6B34EDD0-A0B9-47F5-BF62-C37D031A721C}" destId="{80105809-0874-466F-A349-4943DBDDDC10}" srcOrd="0" destOrd="0" presId="urn:microsoft.com/office/officeart/2008/layout/HorizontalMultiLevelHierarchy"/>
    <dgm:cxn modelId="{CDC2985E-81F2-4651-B571-9298F7C02E41}" type="presParOf" srcId="{80105809-0874-466F-A349-4943DBDDDC10}" destId="{2FEC4600-1740-45BB-8756-84A8EF10AC33}" srcOrd="0" destOrd="0" presId="urn:microsoft.com/office/officeart/2008/layout/HorizontalMultiLevelHierarchy"/>
    <dgm:cxn modelId="{1C41094F-F81E-4E66-920C-EA7541D67E4B}" type="presParOf" srcId="{6B34EDD0-A0B9-47F5-BF62-C37D031A721C}" destId="{2A1B8FC7-1C0C-4048-9E2D-E005ABFF79CB}" srcOrd="1" destOrd="0" presId="urn:microsoft.com/office/officeart/2008/layout/HorizontalMultiLevelHierarchy"/>
    <dgm:cxn modelId="{65614361-89AF-4D6D-9D93-6B73633E4541}" type="presParOf" srcId="{2A1B8FC7-1C0C-4048-9E2D-E005ABFF79CB}" destId="{3B552645-015F-450C-B0DF-98A4E6D3DF42}" srcOrd="0" destOrd="0" presId="urn:microsoft.com/office/officeart/2008/layout/HorizontalMultiLevelHierarchy"/>
    <dgm:cxn modelId="{89A1BDCC-37A8-484C-8131-5DAC783AF505}" type="presParOf" srcId="{2A1B8FC7-1C0C-4048-9E2D-E005ABFF79CB}" destId="{116A9856-6B64-4480-A0C1-B530098DAFC9}" srcOrd="1" destOrd="0" presId="urn:microsoft.com/office/officeart/2008/layout/HorizontalMultiLevelHierarchy"/>
    <dgm:cxn modelId="{0444F31A-E6FB-4797-95C2-BF237073215C}" type="presParOf" srcId="{6B34EDD0-A0B9-47F5-BF62-C37D031A721C}" destId="{6B5E0744-F0C2-4F8E-B566-0820B8774CE5}" srcOrd="2" destOrd="0" presId="urn:microsoft.com/office/officeart/2008/layout/HorizontalMultiLevelHierarchy"/>
    <dgm:cxn modelId="{F3E79DAA-900F-488A-9674-11A45E6E2565}" type="presParOf" srcId="{6B5E0744-F0C2-4F8E-B566-0820B8774CE5}" destId="{30AFB02E-D77A-4B62-A566-8816A34EDC3E}" srcOrd="0" destOrd="0" presId="urn:microsoft.com/office/officeart/2008/layout/HorizontalMultiLevelHierarchy"/>
    <dgm:cxn modelId="{B91EBAE9-844B-419D-B402-9F41AF48BF6E}" type="presParOf" srcId="{6B34EDD0-A0B9-47F5-BF62-C37D031A721C}" destId="{CDFA8701-BBE2-4FD9-BF63-CD1E81E13582}" srcOrd="3" destOrd="0" presId="urn:microsoft.com/office/officeart/2008/layout/HorizontalMultiLevelHierarchy"/>
    <dgm:cxn modelId="{F5D6EE31-95D3-4CC9-96A6-0C2F3EF7F83B}" type="presParOf" srcId="{CDFA8701-BBE2-4FD9-BF63-CD1E81E13582}" destId="{EF2E1BDC-0184-4543-9FEC-2EE5A47279DA}" srcOrd="0" destOrd="0" presId="urn:microsoft.com/office/officeart/2008/layout/HorizontalMultiLevelHierarchy"/>
    <dgm:cxn modelId="{AA37F416-CEC7-42E1-9AEE-A13403EB4F6B}" type="presParOf" srcId="{CDFA8701-BBE2-4FD9-BF63-CD1E81E13582}" destId="{2CD2591F-B7D3-4E6F-90B8-FF1026AD88B3}" srcOrd="1" destOrd="0" presId="urn:microsoft.com/office/officeart/2008/layout/HorizontalMultiLevelHierarchy"/>
    <dgm:cxn modelId="{FC2427F7-8B45-469A-B733-EF763C83AB4B}" type="presParOf" srcId="{6B34EDD0-A0B9-47F5-BF62-C37D031A721C}" destId="{D7F268BE-F358-4EAB-9F80-F7A0104C6913}" srcOrd="4" destOrd="0" presId="urn:microsoft.com/office/officeart/2008/layout/HorizontalMultiLevelHierarchy"/>
    <dgm:cxn modelId="{0B5CBD79-C8A4-4F67-AC44-59E9318415AB}" type="presParOf" srcId="{D7F268BE-F358-4EAB-9F80-F7A0104C6913}" destId="{7B8006D8-F190-4FEE-9ECA-DC2FFB0D58F4}" srcOrd="0" destOrd="0" presId="urn:microsoft.com/office/officeart/2008/layout/HorizontalMultiLevelHierarchy"/>
    <dgm:cxn modelId="{00E45D96-FC23-4695-BBE6-62BC4D712058}" type="presParOf" srcId="{6B34EDD0-A0B9-47F5-BF62-C37D031A721C}" destId="{EF020BAD-C2E0-4CC1-87EC-B8021FCFE747}" srcOrd="5" destOrd="0" presId="urn:microsoft.com/office/officeart/2008/layout/HorizontalMultiLevelHierarchy"/>
    <dgm:cxn modelId="{22ADC386-757C-415B-819C-B4CFAE162F57}" type="presParOf" srcId="{EF020BAD-C2E0-4CC1-87EC-B8021FCFE747}" destId="{D096A9BD-6438-49CB-9D7E-691A2387FAEC}" srcOrd="0" destOrd="0" presId="urn:microsoft.com/office/officeart/2008/layout/HorizontalMultiLevelHierarchy"/>
    <dgm:cxn modelId="{A8EE629C-93F0-4658-9B13-181731D1D178}" type="presParOf" srcId="{EF020BAD-C2E0-4CC1-87EC-B8021FCFE747}" destId="{48C153C9-7BDE-4173-A813-C28A154A1296}" srcOrd="1" destOrd="0" presId="urn:microsoft.com/office/officeart/2008/layout/HorizontalMultiLevelHierarchy"/>
    <dgm:cxn modelId="{A35B90AB-52BB-4DF7-8A99-0CE0235AF605}" type="presParOf" srcId="{6B34EDD0-A0B9-47F5-BF62-C37D031A721C}" destId="{395026F2-2210-49D8-B2F3-43FB870631F9}" srcOrd="6" destOrd="0" presId="urn:microsoft.com/office/officeart/2008/layout/HorizontalMultiLevelHierarchy"/>
    <dgm:cxn modelId="{831EE9CF-B270-4705-8282-7E7DD777B64F}" type="presParOf" srcId="{395026F2-2210-49D8-B2F3-43FB870631F9}" destId="{AB7C6245-3CAF-4FD6-AD1C-EF618B730160}" srcOrd="0" destOrd="0" presId="urn:microsoft.com/office/officeart/2008/layout/HorizontalMultiLevelHierarchy"/>
    <dgm:cxn modelId="{81CDD9B3-E337-4346-8E5E-FB1EF8EDCBB2}" type="presParOf" srcId="{6B34EDD0-A0B9-47F5-BF62-C37D031A721C}" destId="{97F3B651-9626-4EEF-AC72-C89E8B336C99}" srcOrd="7" destOrd="0" presId="urn:microsoft.com/office/officeart/2008/layout/HorizontalMultiLevelHierarchy"/>
    <dgm:cxn modelId="{F71784EF-88F8-4EED-AF6C-40AAAE5E3907}" type="presParOf" srcId="{97F3B651-9626-4EEF-AC72-C89E8B336C99}" destId="{CA9EF144-0405-4902-90FD-3E71C9543CF8}" srcOrd="0" destOrd="0" presId="urn:microsoft.com/office/officeart/2008/layout/HorizontalMultiLevelHierarchy"/>
    <dgm:cxn modelId="{B628D12D-FB72-42BD-AF1F-A2C10CA86BCA}" type="presParOf" srcId="{97F3B651-9626-4EEF-AC72-C89E8B336C99}" destId="{E578A57C-C31A-45FC-855B-7699875CB6DD}" srcOrd="1" destOrd="0" presId="urn:microsoft.com/office/officeart/2008/layout/HorizontalMultiLevelHierarchy"/>
    <dgm:cxn modelId="{0DC38677-2279-4A16-8617-634FAB1894C1}" type="presParOf" srcId="{6B34EDD0-A0B9-47F5-BF62-C37D031A721C}" destId="{06E96C2E-0BF9-4CCA-84AB-B444DEB15B40}" srcOrd="8" destOrd="0" presId="urn:microsoft.com/office/officeart/2008/layout/HorizontalMultiLevelHierarchy"/>
    <dgm:cxn modelId="{7FC59198-1C74-4359-9E21-51F71E70C730}" type="presParOf" srcId="{06E96C2E-0BF9-4CCA-84AB-B444DEB15B40}" destId="{A19A2DD4-61B7-4649-9EA2-8882E9317612}" srcOrd="0" destOrd="0" presId="urn:microsoft.com/office/officeart/2008/layout/HorizontalMultiLevelHierarchy"/>
    <dgm:cxn modelId="{C9B58549-D92A-4948-A7B6-768F86BC34DB}" type="presParOf" srcId="{6B34EDD0-A0B9-47F5-BF62-C37D031A721C}" destId="{B747A5F2-2107-4960-8F3D-E980FCE9A6D7}" srcOrd="9" destOrd="0" presId="urn:microsoft.com/office/officeart/2008/layout/HorizontalMultiLevelHierarchy"/>
    <dgm:cxn modelId="{7CB73571-FE0D-497B-97FE-4B6804C82479}" type="presParOf" srcId="{B747A5F2-2107-4960-8F3D-E980FCE9A6D7}" destId="{45144AC6-5E6B-4E28-9B29-28256B0BAB68}" srcOrd="0" destOrd="0" presId="urn:microsoft.com/office/officeart/2008/layout/HorizontalMultiLevelHierarchy"/>
    <dgm:cxn modelId="{B80BF176-C2CF-4925-BAA2-BD163E679093}" type="presParOf" srcId="{B747A5F2-2107-4960-8F3D-E980FCE9A6D7}" destId="{C0FCFB91-C5DE-45C7-BE57-2DB95D8DCAFF}" srcOrd="1" destOrd="0" presId="urn:microsoft.com/office/officeart/2008/layout/HorizontalMultiLevelHierarchy"/>
    <dgm:cxn modelId="{0D244E39-D10B-41C7-9A73-B29E98C3A360}" type="presParOf" srcId="{6B34EDD0-A0B9-47F5-BF62-C37D031A721C}" destId="{3EF29630-DE92-4317-AC9E-666B73016EAD}" srcOrd="10" destOrd="0" presId="urn:microsoft.com/office/officeart/2008/layout/HorizontalMultiLevelHierarchy"/>
    <dgm:cxn modelId="{B42CFED8-90CE-4508-A1EC-E41987DA61C4}" type="presParOf" srcId="{3EF29630-DE92-4317-AC9E-666B73016EAD}" destId="{B4C8375F-6C19-4440-A524-D7FF3ECF9DFE}" srcOrd="0" destOrd="0" presId="urn:microsoft.com/office/officeart/2008/layout/HorizontalMultiLevelHierarchy"/>
    <dgm:cxn modelId="{1BAAF6A2-677B-4229-918D-EFEA31A67746}" type="presParOf" srcId="{6B34EDD0-A0B9-47F5-BF62-C37D031A721C}" destId="{FCC6D73C-B07D-432B-ABF3-C46251B0DA84}" srcOrd="11" destOrd="0" presId="urn:microsoft.com/office/officeart/2008/layout/HorizontalMultiLevelHierarchy"/>
    <dgm:cxn modelId="{AE813E68-4226-49A4-B5C6-5886F692710A}" type="presParOf" srcId="{FCC6D73C-B07D-432B-ABF3-C46251B0DA84}" destId="{F092F9F5-2BFD-4E4F-A181-E5F7E689E34A}" srcOrd="0" destOrd="0" presId="urn:microsoft.com/office/officeart/2008/layout/HorizontalMultiLevelHierarchy"/>
    <dgm:cxn modelId="{9C71D3C0-BEB8-4404-AB16-103CC6910353}" type="presParOf" srcId="{FCC6D73C-B07D-432B-ABF3-C46251B0DA84}" destId="{353ECA8F-4B68-486F-9444-A3A80DEF3A10}" srcOrd="1" destOrd="0" presId="urn:microsoft.com/office/officeart/2008/layout/HorizontalMultiLevelHierarchy"/>
    <dgm:cxn modelId="{82884228-7132-4F42-A813-4A9373B0226A}" type="presParOf" srcId="{6B34EDD0-A0B9-47F5-BF62-C37D031A721C}" destId="{3AF78504-D620-4EC8-A591-B9B6B495782B}" srcOrd="12" destOrd="0" presId="urn:microsoft.com/office/officeart/2008/layout/HorizontalMultiLevelHierarchy"/>
    <dgm:cxn modelId="{49EB6DDF-8C10-45B4-B3CC-FE4E2B43257F}" type="presParOf" srcId="{3AF78504-D620-4EC8-A591-B9B6B495782B}" destId="{A216E1E8-4E2C-4C3D-B3E0-1337CCD06C21}" srcOrd="0" destOrd="0" presId="urn:microsoft.com/office/officeart/2008/layout/HorizontalMultiLevelHierarchy"/>
    <dgm:cxn modelId="{70A4666F-6EC9-4E15-8863-D87C3123EC72}" type="presParOf" srcId="{6B34EDD0-A0B9-47F5-BF62-C37D031A721C}" destId="{EFD6D140-5261-4695-9485-89C8AA01BDD2}" srcOrd="13" destOrd="0" presId="urn:microsoft.com/office/officeart/2008/layout/HorizontalMultiLevelHierarchy"/>
    <dgm:cxn modelId="{E692BEE8-8ADA-41B1-A2EC-B5DB6BE652CB}" type="presParOf" srcId="{EFD6D140-5261-4695-9485-89C8AA01BDD2}" destId="{1041EB55-64C7-4230-BBD3-4CA7673341D1}" srcOrd="0" destOrd="0" presId="urn:microsoft.com/office/officeart/2008/layout/HorizontalMultiLevelHierarchy"/>
    <dgm:cxn modelId="{DBAA0448-2557-41D2-9FDE-72D35226A123}" type="presParOf" srcId="{EFD6D140-5261-4695-9485-89C8AA01BDD2}" destId="{F5B5A3E0-8EC3-486E-8511-4027F9577DD6}"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F78504-D620-4EC8-A591-B9B6B495782B}">
      <dsp:nvSpPr>
        <dsp:cNvPr id="0" name=""/>
        <dsp:cNvSpPr/>
      </dsp:nvSpPr>
      <dsp:spPr>
        <a:xfrm>
          <a:off x="1026703" y="1645847"/>
          <a:ext cx="1730244" cy="1225638"/>
        </a:xfrm>
        <a:custGeom>
          <a:avLst/>
          <a:gdLst/>
          <a:ahLst/>
          <a:cxnLst/>
          <a:rect l="0" t="0" r="0" b="0"/>
          <a:pathLst>
            <a:path>
              <a:moveTo>
                <a:pt x="0" y="0"/>
              </a:moveTo>
              <a:lnTo>
                <a:pt x="865122" y="0"/>
              </a:lnTo>
              <a:lnTo>
                <a:pt x="865122" y="1225638"/>
              </a:lnTo>
              <a:lnTo>
                <a:pt x="1730244" y="122563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38816" y="2205658"/>
        <a:ext cx="106018" cy="106018"/>
      </dsp:txXfrm>
    </dsp:sp>
    <dsp:sp modelId="{3EF29630-DE92-4317-AC9E-666B73016EAD}">
      <dsp:nvSpPr>
        <dsp:cNvPr id="0" name=""/>
        <dsp:cNvSpPr/>
      </dsp:nvSpPr>
      <dsp:spPr>
        <a:xfrm>
          <a:off x="1026703" y="1645847"/>
          <a:ext cx="1750054" cy="828970"/>
        </a:xfrm>
        <a:custGeom>
          <a:avLst/>
          <a:gdLst/>
          <a:ahLst/>
          <a:cxnLst/>
          <a:rect l="0" t="0" r="0" b="0"/>
          <a:pathLst>
            <a:path>
              <a:moveTo>
                <a:pt x="0" y="0"/>
              </a:moveTo>
              <a:lnTo>
                <a:pt x="875027" y="0"/>
              </a:lnTo>
              <a:lnTo>
                <a:pt x="875027" y="828970"/>
              </a:lnTo>
              <a:lnTo>
                <a:pt x="1750054" y="8289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53319" y="2011921"/>
        <a:ext cx="96823" cy="96823"/>
      </dsp:txXfrm>
    </dsp:sp>
    <dsp:sp modelId="{06E96C2E-0BF9-4CCA-84AB-B444DEB15B40}">
      <dsp:nvSpPr>
        <dsp:cNvPr id="0" name=""/>
        <dsp:cNvSpPr/>
      </dsp:nvSpPr>
      <dsp:spPr>
        <a:xfrm>
          <a:off x="1026703" y="1645847"/>
          <a:ext cx="1724274" cy="399520"/>
        </a:xfrm>
        <a:custGeom>
          <a:avLst/>
          <a:gdLst/>
          <a:ahLst/>
          <a:cxnLst/>
          <a:rect l="0" t="0" r="0" b="0"/>
          <a:pathLst>
            <a:path>
              <a:moveTo>
                <a:pt x="0" y="0"/>
              </a:moveTo>
              <a:lnTo>
                <a:pt x="862137" y="0"/>
              </a:lnTo>
              <a:lnTo>
                <a:pt x="862137" y="399520"/>
              </a:lnTo>
              <a:lnTo>
                <a:pt x="1724274" y="399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44591" y="1801359"/>
        <a:ext cx="88497" cy="88497"/>
      </dsp:txXfrm>
    </dsp:sp>
    <dsp:sp modelId="{395026F2-2210-49D8-B2F3-43FB870631F9}">
      <dsp:nvSpPr>
        <dsp:cNvPr id="0" name=""/>
        <dsp:cNvSpPr/>
      </dsp:nvSpPr>
      <dsp:spPr>
        <a:xfrm>
          <a:off x="1026703" y="1595885"/>
          <a:ext cx="1722683" cy="91440"/>
        </a:xfrm>
        <a:custGeom>
          <a:avLst/>
          <a:gdLst/>
          <a:ahLst/>
          <a:cxnLst/>
          <a:rect l="0" t="0" r="0" b="0"/>
          <a:pathLst>
            <a:path>
              <a:moveTo>
                <a:pt x="0" y="49962"/>
              </a:moveTo>
              <a:lnTo>
                <a:pt x="861341" y="49962"/>
              </a:lnTo>
              <a:lnTo>
                <a:pt x="861341" y="45720"/>
              </a:lnTo>
              <a:lnTo>
                <a:pt x="1722683"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44978" y="1598537"/>
        <a:ext cx="86134" cy="86134"/>
      </dsp:txXfrm>
    </dsp:sp>
    <dsp:sp modelId="{D7F268BE-F358-4EAB-9F80-F7A0104C6913}">
      <dsp:nvSpPr>
        <dsp:cNvPr id="0" name=""/>
        <dsp:cNvSpPr/>
      </dsp:nvSpPr>
      <dsp:spPr>
        <a:xfrm>
          <a:off x="1026703" y="1235565"/>
          <a:ext cx="1722683" cy="410282"/>
        </a:xfrm>
        <a:custGeom>
          <a:avLst/>
          <a:gdLst/>
          <a:ahLst/>
          <a:cxnLst/>
          <a:rect l="0" t="0" r="0" b="0"/>
          <a:pathLst>
            <a:path>
              <a:moveTo>
                <a:pt x="0" y="410282"/>
              </a:moveTo>
              <a:lnTo>
                <a:pt x="861341" y="410282"/>
              </a:lnTo>
              <a:lnTo>
                <a:pt x="861341" y="0"/>
              </a:lnTo>
              <a:lnTo>
                <a:pt x="172268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43773" y="1396434"/>
        <a:ext cx="88543" cy="88543"/>
      </dsp:txXfrm>
    </dsp:sp>
    <dsp:sp modelId="{6B5E0744-F0C2-4F8E-B566-0820B8774CE5}">
      <dsp:nvSpPr>
        <dsp:cNvPr id="0" name=""/>
        <dsp:cNvSpPr/>
      </dsp:nvSpPr>
      <dsp:spPr>
        <a:xfrm>
          <a:off x="1026703" y="833527"/>
          <a:ext cx="1727455" cy="812320"/>
        </a:xfrm>
        <a:custGeom>
          <a:avLst/>
          <a:gdLst/>
          <a:ahLst/>
          <a:cxnLst/>
          <a:rect l="0" t="0" r="0" b="0"/>
          <a:pathLst>
            <a:path>
              <a:moveTo>
                <a:pt x="0" y="812320"/>
              </a:moveTo>
              <a:lnTo>
                <a:pt x="863727" y="812320"/>
              </a:lnTo>
              <a:lnTo>
                <a:pt x="863727" y="0"/>
              </a:lnTo>
              <a:lnTo>
                <a:pt x="172745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1842708" y="1191964"/>
        <a:ext cx="95445" cy="95445"/>
      </dsp:txXfrm>
    </dsp:sp>
    <dsp:sp modelId="{80105809-0874-466F-A349-4943DBDDDC10}">
      <dsp:nvSpPr>
        <dsp:cNvPr id="0" name=""/>
        <dsp:cNvSpPr/>
      </dsp:nvSpPr>
      <dsp:spPr>
        <a:xfrm>
          <a:off x="1026703" y="418792"/>
          <a:ext cx="1722683" cy="1227055"/>
        </a:xfrm>
        <a:custGeom>
          <a:avLst/>
          <a:gdLst/>
          <a:ahLst/>
          <a:cxnLst/>
          <a:rect l="0" t="0" r="0" b="0"/>
          <a:pathLst>
            <a:path>
              <a:moveTo>
                <a:pt x="0" y="1227055"/>
              </a:moveTo>
              <a:lnTo>
                <a:pt x="861341" y="1227055"/>
              </a:lnTo>
              <a:lnTo>
                <a:pt x="861341" y="0"/>
              </a:lnTo>
              <a:lnTo>
                <a:pt x="172268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1835169" y="979444"/>
        <a:ext cx="105750" cy="105750"/>
      </dsp:txXfrm>
    </dsp:sp>
    <dsp:sp modelId="{7E0F4144-F534-4E25-A050-60B931936FDC}">
      <dsp:nvSpPr>
        <dsp:cNvPr id="0" name=""/>
        <dsp:cNvSpPr/>
      </dsp:nvSpPr>
      <dsp:spPr>
        <a:xfrm>
          <a:off x="0" y="1265610"/>
          <a:ext cx="1292931" cy="760475"/>
        </a:xfrm>
        <a:prstGeom prst="rect">
          <a:avLst/>
        </a:prstGeom>
        <a:solidFill>
          <a:schemeClr val="accent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Program Record / Transfer Record Measures</a:t>
          </a:r>
        </a:p>
      </dsp:txBody>
      <dsp:txXfrm>
        <a:off x="0" y="1265610"/>
        <a:ext cx="1292931" cy="760475"/>
      </dsp:txXfrm>
    </dsp:sp>
    <dsp:sp modelId="{3B552645-015F-450C-B0DF-98A4E6D3DF42}">
      <dsp:nvSpPr>
        <dsp:cNvPr id="0" name=""/>
        <dsp:cNvSpPr/>
      </dsp:nvSpPr>
      <dsp:spPr>
        <a:xfrm>
          <a:off x="2749387" y="294496"/>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Client Demographics</a:t>
          </a:r>
        </a:p>
      </dsp:txBody>
      <dsp:txXfrm>
        <a:off x="2749387" y="294496"/>
        <a:ext cx="1210781" cy="248591"/>
      </dsp:txXfrm>
    </dsp:sp>
    <dsp:sp modelId="{EF2E1BDC-0184-4543-9FEC-2EE5A47279DA}">
      <dsp:nvSpPr>
        <dsp:cNvPr id="0" name=""/>
        <dsp:cNvSpPr/>
      </dsp:nvSpPr>
      <dsp:spPr>
        <a:xfrm>
          <a:off x="2754159" y="706885"/>
          <a:ext cx="1204439" cy="253283"/>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Districts</a:t>
          </a:r>
        </a:p>
      </dsp:txBody>
      <dsp:txXfrm>
        <a:off x="2754159" y="706885"/>
        <a:ext cx="1204439" cy="253283"/>
      </dsp:txXfrm>
    </dsp:sp>
    <dsp:sp modelId="{D096A9BD-6438-49CB-9D7E-691A2387FAEC}">
      <dsp:nvSpPr>
        <dsp:cNvPr id="0" name=""/>
        <dsp:cNvSpPr/>
      </dsp:nvSpPr>
      <dsp:spPr>
        <a:xfrm>
          <a:off x="2749387" y="1111269"/>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Fiscal Year</a:t>
          </a:r>
        </a:p>
      </dsp:txBody>
      <dsp:txXfrm>
        <a:off x="2749387" y="1111269"/>
        <a:ext cx="1210781" cy="248591"/>
      </dsp:txXfrm>
    </dsp:sp>
    <dsp:sp modelId="{CA9EF144-0405-4902-90FD-3E71C9543CF8}">
      <dsp:nvSpPr>
        <dsp:cNvPr id="0" name=""/>
        <dsp:cNvSpPr/>
      </dsp:nvSpPr>
      <dsp:spPr>
        <a:xfrm>
          <a:off x="2749387" y="1517309"/>
          <a:ext cx="1210781" cy="248591"/>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Program</a:t>
          </a:r>
        </a:p>
      </dsp:txBody>
      <dsp:txXfrm>
        <a:off x="2749387" y="1517309"/>
        <a:ext cx="1210781" cy="248591"/>
      </dsp:txXfrm>
    </dsp:sp>
    <dsp:sp modelId="{45144AC6-5E6B-4E28-9B29-28256B0BAB68}">
      <dsp:nvSpPr>
        <dsp:cNvPr id="0" name=""/>
        <dsp:cNvSpPr/>
      </dsp:nvSpPr>
      <dsp:spPr>
        <a:xfrm>
          <a:off x="2750978" y="1923349"/>
          <a:ext cx="1206711" cy="24403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Program Enrollee or Graduate</a:t>
          </a:r>
        </a:p>
      </dsp:txBody>
      <dsp:txXfrm>
        <a:off x="2750978" y="1923349"/>
        <a:ext cx="1206711" cy="244038"/>
      </dsp:txXfrm>
    </dsp:sp>
    <dsp:sp modelId="{F092F9F5-2BFD-4E4F-A181-E5F7E689E34A}">
      <dsp:nvSpPr>
        <dsp:cNvPr id="0" name=""/>
        <dsp:cNvSpPr/>
      </dsp:nvSpPr>
      <dsp:spPr>
        <a:xfrm>
          <a:off x="2776758" y="2334749"/>
          <a:ext cx="1223175" cy="280138"/>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Transfer Institution</a:t>
          </a:r>
        </a:p>
      </dsp:txBody>
      <dsp:txXfrm>
        <a:off x="2776758" y="2334749"/>
        <a:ext cx="1223175" cy="280138"/>
      </dsp:txXfrm>
    </dsp:sp>
    <dsp:sp modelId="{1041EB55-64C7-4230-BBD3-4CA7673341D1}">
      <dsp:nvSpPr>
        <dsp:cNvPr id="0" name=""/>
        <dsp:cNvSpPr/>
      </dsp:nvSpPr>
      <dsp:spPr>
        <a:xfrm>
          <a:off x="2756948" y="2742596"/>
          <a:ext cx="1262837" cy="257780"/>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Transfer Program</a:t>
          </a:r>
        </a:p>
      </dsp:txBody>
      <dsp:txXfrm>
        <a:off x="2756948" y="2742596"/>
        <a:ext cx="1262837" cy="25778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2524-A44D-4CA3-8A25-6A6AC722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Konruff, Ben</dc:creator>
  <cp:keywords/>
  <dc:description/>
  <cp:lastModifiedBy>Konruff, Ben</cp:lastModifiedBy>
  <cp:revision>5</cp:revision>
  <dcterms:created xsi:type="dcterms:W3CDTF">2016-09-02T19:28:00Z</dcterms:created>
  <dcterms:modified xsi:type="dcterms:W3CDTF">2016-09-07T15:57:00Z</dcterms:modified>
</cp:coreProperties>
</file>