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0820" w14:textId="4656A1BD" w:rsidR="008C5B40" w:rsidRDefault="00900D7B" w:rsidP="000A66DB">
      <w:pPr>
        <w:pStyle w:val="Heading1"/>
      </w:pPr>
      <w:r>
        <w:t xml:space="preserve">WTCS </w:t>
      </w:r>
      <w:r w:rsidR="008C5B40">
        <w:t>Best Practices for Developing Technical Standards</w:t>
      </w:r>
      <w:r>
        <w:t xml:space="preserve"> </w:t>
      </w:r>
    </w:p>
    <w:p w14:paraId="0487B425" w14:textId="32B4256B" w:rsidR="00511DFE" w:rsidRPr="00511DFE" w:rsidRDefault="00511DFE" w:rsidP="00511DFE">
      <w:pPr>
        <w:pStyle w:val="Heading2"/>
      </w:pPr>
      <w:r>
        <w:t>2019</w:t>
      </w:r>
      <w:bookmarkStart w:id="0" w:name="_GoBack"/>
      <w:bookmarkEnd w:id="0"/>
    </w:p>
    <w:p w14:paraId="05297963" w14:textId="77777777" w:rsidR="008C5B40" w:rsidRPr="0015024D" w:rsidRDefault="008C5B40" w:rsidP="008C5B40">
      <w:pPr>
        <w:rPr>
          <w:sz w:val="24"/>
        </w:rPr>
      </w:pPr>
      <w:r w:rsidRPr="0015024D">
        <w:rPr>
          <w:sz w:val="24"/>
        </w:rPr>
        <w:t> </w:t>
      </w:r>
    </w:p>
    <w:p w14:paraId="23228290" w14:textId="68D6EC3A" w:rsidR="008C5B40" w:rsidRDefault="008C5B40" w:rsidP="008C5B40">
      <w:pPr>
        <w:spacing w:after="160" w:line="252" w:lineRule="auto"/>
        <w:contextualSpacing/>
        <w:rPr>
          <w:iCs/>
          <w:sz w:val="24"/>
        </w:rPr>
      </w:pPr>
      <w:r w:rsidRPr="0015024D">
        <w:rPr>
          <w:iCs/>
          <w:sz w:val="24"/>
        </w:rPr>
        <w:t xml:space="preserve">The </w:t>
      </w:r>
      <w:r>
        <w:rPr>
          <w:iCs/>
          <w:sz w:val="24"/>
        </w:rPr>
        <w:t>WTCS Health Sciences and Disability Services Work G</w:t>
      </w:r>
      <w:r w:rsidRPr="0015024D">
        <w:rPr>
          <w:iCs/>
          <w:sz w:val="24"/>
        </w:rPr>
        <w:t xml:space="preserve">roup </w:t>
      </w:r>
      <w:r>
        <w:rPr>
          <w:iCs/>
          <w:sz w:val="24"/>
        </w:rPr>
        <w:t>has created this document</w:t>
      </w:r>
      <w:r w:rsidRPr="0015024D">
        <w:rPr>
          <w:iCs/>
          <w:sz w:val="24"/>
        </w:rPr>
        <w:t xml:space="preserve"> to inform </w:t>
      </w:r>
      <w:r>
        <w:rPr>
          <w:iCs/>
          <w:sz w:val="24"/>
        </w:rPr>
        <w:t xml:space="preserve">college staff </w:t>
      </w:r>
      <w:r w:rsidRPr="0015024D">
        <w:rPr>
          <w:iCs/>
          <w:sz w:val="24"/>
        </w:rPr>
        <w:t xml:space="preserve">who </w:t>
      </w:r>
      <w:r>
        <w:rPr>
          <w:iCs/>
          <w:sz w:val="24"/>
        </w:rPr>
        <w:t xml:space="preserve">may help </w:t>
      </w:r>
      <w:r w:rsidRPr="0015024D">
        <w:rPr>
          <w:iCs/>
          <w:sz w:val="24"/>
        </w:rPr>
        <w:t xml:space="preserve">students choose and enter their </w:t>
      </w:r>
      <w:r>
        <w:rPr>
          <w:iCs/>
          <w:sz w:val="24"/>
        </w:rPr>
        <w:t>career</w:t>
      </w:r>
      <w:r w:rsidRPr="0015024D">
        <w:rPr>
          <w:iCs/>
          <w:sz w:val="24"/>
        </w:rPr>
        <w:t xml:space="preserve"> pathway</w:t>
      </w:r>
      <w:r>
        <w:rPr>
          <w:iCs/>
          <w:sz w:val="24"/>
        </w:rPr>
        <w:t xml:space="preserve"> in accordance with literature on providing equal access to educational programs for students with disabilities and federal law (Americans with Disabilities Act Amended, 2008; Section 504 Rehabilitation Act, 1974; Blacklock &amp; Montgomery, 2016; Ailey &amp; Marks, 2016; Ferro-Lusk, 2017; Meeks &amp; Jain, 2018). </w:t>
      </w:r>
    </w:p>
    <w:p w14:paraId="1FB30096" w14:textId="312A36F6" w:rsidR="008C5B40" w:rsidRDefault="008C5B40" w:rsidP="008C5B40">
      <w:pPr>
        <w:spacing w:after="160" w:line="252" w:lineRule="auto"/>
        <w:contextualSpacing/>
        <w:rPr>
          <w:iCs/>
          <w:sz w:val="24"/>
        </w:rPr>
      </w:pPr>
    </w:p>
    <w:p w14:paraId="3B8B453F" w14:textId="232C3587" w:rsidR="008C5B40" w:rsidRDefault="00AD63A7" w:rsidP="008C5B40">
      <w:pPr>
        <w:spacing w:after="160" w:line="252" w:lineRule="auto"/>
        <w:contextualSpacing/>
        <w:rPr>
          <w:iCs/>
          <w:sz w:val="24"/>
        </w:rPr>
      </w:pPr>
      <w:r>
        <w:rPr>
          <w:iCs/>
          <w:sz w:val="24"/>
        </w:rPr>
        <w:t>Special thanks to the members of the WTCS Health Sciences and Disability Services Work Group listed below that created this document.</w:t>
      </w:r>
    </w:p>
    <w:p w14:paraId="1BFC8264" w14:textId="6A5CB910" w:rsidR="008C5B40" w:rsidRDefault="008C5B40" w:rsidP="008C5B40">
      <w:pPr>
        <w:spacing w:after="160" w:line="252" w:lineRule="auto"/>
        <w:contextualSpacing/>
        <w:rPr>
          <w:iCs/>
          <w:sz w:val="24"/>
        </w:rPr>
      </w:pPr>
    </w:p>
    <w:p w14:paraId="0234793A" w14:textId="6B787F38" w:rsidR="003419A1" w:rsidRDefault="003419A1" w:rsidP="008C5B40">
      <w:pPr>
        <w:spacing w:after="160" w:line="252" w:lineRule="auto"/>
        <w:contextualSpacing/>
        <w:rPr>
          <w:iCs/>
          <w:sz w:val="24"/>
        </w:rPr>
      </w:pPr>
      <w:r>
        <w:rPr>
          <w:iCs/>
          <w:sz w:val="24"/>
        </w:rPr>
        <w:t xml:space="preserve">Barb Tuchscherer- Fox Valley Technical College </w:t>
      </w:r>
    </w:p>
    <w:p w14:paraId="079B3C29" w14:textId="78FBF44E" w:rsidR="003419A1" w:rsidRDefault="003419A1" w:rsidP="008C5B40">
      <w:pPr>
        <w:spacing w:after="160" w:line="252" w:lineRule="auto"/>
        <w:contextualSpacing/>
        <w:rPr>
          <w:iCs/>
          <w:sz w:val="24"/>
        </w:rPr>
      </w:pPr>
      <w:r>
        <w:rPr>
          <w:iCs/>
          <w:sz w:val="24"/>
        </w:rPr>
        <w:t xml:space="preserve">Ben </w:t>
      </w:r>
      <w:proofErr w:type="spellStart"/>
      <w:r>
        <w:rPr>
          <w:iCs/>
          <w:sz w:val="24"/>
        </w:rPr>
        <w:t>Mckenzie</w:t>
      </w:r>
      <w:proofErr w:type="spellEnd"/>
      <w:r>
        <w:rPr>
          <w:iCs/>
          <w:sz w:val="24"/>
        </w:rPr>
        <w:t>- Moraine Park Technical College</w:t>
      </w:r>
    </w:p>
    <w:p w14:paraId="74D85463" w14:textId="3836C7E2" w:rsidR="003419A1" w:rsidRDefault="003419A1" w:rsidP="008C5B40">
      <w:pPr>
        <w:spacing w:after="160" w:line="252" w:lineRule="auto"/>
        <w:contextualSpacing/>
        <w:rPr>
          <w:iCs/>
          <w:sz w:val="24"/>
        </w:rPr>
      </w:pPr>
      <w:r>
        <w:rPr>
          <w:iCs/>
          <w:sz w:val="24"/>
        </w:rPr>
        <w:t>Brian Krogh- Northeast Wisconsin Technical College</w:t>
      </w:r>
    </w:p>
    <w:p w14:paraId="74D1E599" w14:textId="289F09C3" w:rsidR="008C5B40" w:rsidRDefault="008C5B40" w:rsidP="008C5B40">
      <w:pPr>
        <w:spacing w:after="160" w:line="252" w:lineRule="auto"/>
        <w:contextualSpacing/>
        <w:rPr>
          <w:iCs/>
          <w:sz w:val="24"/>
        </w:rPr>
      </w:pPr>
      <w:r>
        <w:rPr>
          <w:iCs/>
          <w:sz w:val="24"/>
        </w:rPr>
        <w:t>Christena Bowers- Southwest Technical College</w:t>
      </w:r>
    </w:p>
    <w:p w14:paraId="08A0FAD9" w14:textId="71D2E20C" w:rsidR="003419A1" w:rsidRDefault="003419A1" w:rsidP="008C5B40">
      <w:pPr>
        <w:spacing w:after="160" w:line="252" w:lineRule="auto"/>
        <w:contextualSpacing/>
        <w:rPr>
          <w:iCs/>
          <w:sz w:val="24"/>
        </w:rPr>
      </w:pPr>
      <w:r>
        <w:rPr>
          <w:iCs/>
          <w:sz w:val="24"/>
        </w:rPr>
        <w:t>Colleen Larsen- Wisconsin Technical College System Office</w:t>
      </w:r>
    </w:p>
    <w:p w14:paraId="067A3B68" w14:textId="666E2F3B" w:rsidR="008C5B40" w:rsidRDefault="008C5B40" w:rsidP="008C5B40">
      <w:pPr>
        <w:spacing w:after="160" w:line="252" w:lineRule="auto"/>
        <w:contextualSpacing/>
        <w:rPr>
          <w:iCs/>
          <w:sz w:val="24"/>
        </w:rPr>
      </w:pPr>
      <w:r>
        <w:rPr>
          <w:iCs/>
          <w:sz w:val="24"/>
        </w:rPr>
        <w:t>Colleen Nuckolls- Waukesha County Technical College</w:t>
      </w:r>
    </w:p>
    <w:p w14:paraId="2C16C6BF" w14:textId="3079C2C2" w:rsidR="008C5B40" w:rsidRDefault="008C5B40" w:rsidP="008C5B40">
      <w:pPr>
        <w:spacing w:after="160" w:line="252" w:lineRule="auto"/>
        <w:contextualSpacing/>
        <w:rPr>
          <w:iCs/>
          <w:sz w:val="24"/>
        </w:rPr>
      </w:pPr>
      <w:r>
        <w:rPr>
          <w:iCs/>
          <w:sz w:val="24"/>
        </w:rPr>
        <w:t>Deb Gilster- Blackhawk Technical College</w:t>
      </w:r>
    </w:p>
    <w:p w14:paraId="637422DF" w14:textId="402512C3" w:rsidR="008C5B40" w:rsidRDefault="003419A1" w:rsidP="008C5B40">
      <w:pPr>
        <w:spacing w:after="160" w:line="252" w:lineRule="auto"/>
        <w:contextualSpacing/>
        <w:rPr>
          <w:iCs/>
          <w:sz w:val="24"/>
        </w:rPr>
      </w:pPr>
      <w:r>
        <w:rPr>
          <w:iCs/>
          <w:sz w:val="24"/>
        </w:rPr>
        <w:t>Heidi Diesterhaft- Wisconsin Indianhead Technical College</w:t>
      </w:r>
    </w:p>
    <w:p w14:paraId="694D8932" w14:textId="54207ED0" w:rsidR="003419A1" w:rsidRDefault="003419A1" w:rsidP="008C5B40">
      <w:pPr>
        <w:spacing w:after="160" w:line="252" w:lineRule="auto"/>
        <w:contextualSpacing/>
        <w:rPr>
          <w:iCs/>
          <w:sz w:val="24"/>
        </w:rPr>
      </w:pPr>
      <w:r>
        <w:rPr>
          <w:iCs/>
          <w:sz w:val="24"/>
        </w:rPr>
        <w:t>Janet Baumann- Northcentral Technical College</w:t>
      </w:r>
    </w:p>
    <w:p w14:paraId="35FE9446" w14:textId="7C228C11" w:rsidR="003419A1" w:rsidRDefault="003419A1" w:rsidP="008C5B40">
      <w:pPr>
        <w:spacing w:after="160" w:line="252" w:lineRule="auto"/>
        <w:contextualSpacing/>
        <w:rPr>
          <w:iCs/>
          <w:sz w:val="24"/>
        </w:rPr>
      </w:pPr>
      <w:r>
        <w:rPr>
          <w:iCs/>
          <w:sz w:val="24"/>
        </w:rPr>
        <w:t>Julie Lotto- Moraine Park Technical College</w:t>
      </w:r>
    </w:p>
    <w:p w14:paraId="1D7DCA4D" w14:textId="4A1BD6B7" w:rsidR="003419A1" w:rsidRDefault="003419A1" w:rsidP="008C5B40">
      <w:pPr>
        <w:spacing w:after="160" w:line="252" w:lineRule="auto"/>
        <w:contextualSpacing/>
        <w:rPr>
          <w:iCs/>
          <w:sz w:val="24"/>
        </w:rPr>
      </w:pPr>
      <w:r>
        <w:rPr>
          <w:iCs/>
          <w:sz w:val="24"/>
        </w:rPr>
        <w:t>JoDee Smith- Northcentral Technical College</w:t>
      </w:r>
    </w:p>
    <w:p w14:paraId="1CD63AC6" w14:textId="69F6007E" w:rsidR="003419A1" w:rsidRDefault="003419A1" w:rsidP="008C5B40">
      <w:pPr>
        <w:spacing w:after="160" w:line="252" w:lineRule="auto"/>
        <w:contextualSpacing/>
        <w:rPr>
          <w:iCs/>
          <w:sz w:val="24"/>
        </w:rPr>
      </w:pPr>
      <w:r>
        <w:rPr>
          <w:iCs/>
          <w:sz w:val="24"/>
        </w:rPr>
        <w:t>Kathy Loppnow- Wisconsin Technical College System Office</w:t>
      </w:r>
    </w:p>
    <w:p w14:paraId="3ED194E8" w14:textId="04474096" w:rsidR="003419A1" w:rsidRDefault="003419A1" w:rsidP="008C5B40">
      <w:pPr>
        <w:spacing w:after="160" w:line="252" w:lineRule="auto"/>
        <w:contextualSpacing/>
        <w:rPr>
          <w:iCs/>
          <w:sz w:val="24"/>
        </w:rPr>
      </w:pPr>
      <w:r>
        <w:rPr>
          <w:iCs/>
          <w:sz w:val="24"/>
        </w:rPr>
        <w:t>Karen Glad- Fox Valley Technical College</w:t>
      </w:r>
    </w:p>
    <w:p w14:paraId="54647065" w14:textId="57BE6911" w:rsidR="003419A1" w:rsidRDefault="003419A1" w:rsidP="008C5B40">
      <w:pPr>
        <w:spacing w:after="160" w:line="252" w:lineRule="auto"/>
        <w:contextualSpacing/>
        <w:rPr>
          <w:iCs/>
          <w:sz w:val="24"/>
        </w:rPr>
      </w:pPr>
      <w:r>
        <w:rPr>
          <w:iCs/>
          <w:sz w:val="24"/>
        </w:rPr>
        <w:t>Kelly Schumacher- Northeast Wisconsin Technical College</w:t>
      </w:r>
    </w:p>
    <w:p w14:paraId="4ACE46F5" w14:textId="4A5A227C" w:rsidR="003419A1" w:rsidRDefault="003419A1" w:rsidP="008C5B40">
      <w:pPr>
        <w:spacing w:after="160" w:line="252" w:lineRule="auto"/>
        <w:contextualSpacing/>
        <w:rPr>
          <w:iCs/>
          <w:sz w:val="24"/>
        </w:rPr>
      </w:pPr>
      <w:r>
        <w:rPr>
          <w:iCs/>
          <w:sz w:val="24"/>
        </w:rPr>
        <w:t>Kristin Hoffmann- Waukesha County Technical College</w:t>
      </w:r>
    </w:p>
    <w:p w14:paraId="7EE9BAF2" w14:textId="04C5D8B4" w:rsidR="003419A1" w:rsidRDefault="003419A1" w:rsidP="008C5B40">
      <w:pPr>
        <w:spacing w:after="160" w:line="252" w:lineRule="auto"/>
        <w:contextualSpacing/>
        <w:rPr>
          <w:iCs/>
          <w:sz w:val="24"/>
        </w:rPr>
      </w:pPr>
      <w:r>
        <w:rPr>
          <w:iCs/>
          <w:sz w:val="24"/>
        </w:rPr>
        <w:t>Kris Follansbee- Western Technical College</w:t>
      </w:r>
    </w:p>
    <w:p w14:paraId="110A6CF4" w14:textId="7383CA5C" w:rsidR="003419A1" w:rsidRDefault="003419A1" w:rsidP="008C5B40">
      <w:pPr>
        <w:spacing w:after="160" w:line="252" w:lineRule="auto"/>
        <w:contextualSpacing/>
        <w:rPr>
          <w:iCs/>
          <w:sz w:val="24"/>
        </w:rPr>
      </w:pPr>
      <w:r>
        <w:rPr>
          <w:iCs/>
          <w:sz w:val="24"/>
        </w:rPr>
        <w:t>Lisa Greenwood- Madison Area Technical College</w:t>
      </w:r>
    </w:p>
    <w:p w14:paraId="35172D8F" w14:textId="7DADD67D" w:rsidR="003419A1" w:rsidRDefault="003419A1" w:rsidP="008C5B40">
      <w:pPr>
        <w:spacing w:after="160" w:line="252" w:lineRule="auto"/>
        <w:contextualSpacing/>
        <w:rPr>
          <w:iCs/>
          <w:sz w:val="24"/>
        </w:rPr>
      </w:pPr>
      <w:r>
        <w:rPr>
          <w:iCs/>
          <w:sz w:val="24"/>
        </w:rPr>
        <w:t>Lisa Nowak- Waukesha County Technical College</w:t>
      </w:r>
    </w:p>
    <w:p w14:paraId="5777D162" w14:textId="6117D53F" w:rsidR="003419A1" w:rsidRDefault="003419A1" w:rsidP="008C5B40">
      <w:pPr>
        <w:spacing w:after="160" w:line="252" w:lineRule="auto"/>
        <w:contextualSpacing/>
        <w:rPr>
          <w:iCs/>
          <w:sz w:val="24"/>
        </w:rPr>
      </w:pPr>
      <w:r>
        <w:rPr>
          <w:iCs/>
          <w:sz w:val="24"/>
        </w:rPr>
        <w:t>Michelle Nelson- Waukesha County Technical College</w:t>
      </w:r>
    </w:p>
    <w:p w14:paraId="433AEF48" w14:textId="1DC631F9" w:rsidR="003419A1" w:rsidRDefault="003419A1" w:rsidP="008C5B40">
      <w:pPr>
        <w:spacing w:after="160" w:line="252" w:lineRule="auto"/>
        <w:contextualSpacing/>
        <w:rPr>
          <w:iCs/>
          <w:sz w:val="24"/>
        </w:rPr>
      </w:pPr>
      <w:r>
        <w:rPr>
          <w:iCs/>
          <w:sz w:val="24"/>
        </w:rPr>
        <w:t>Patrick Neuenfeldt- Lakeshore Technical College</w:t>
      </w:r>
    </w:p>
    <w:p w14:paraId="5974C5D6" w14:textId="242633F8" w:rsidR="003419A1" w:rsidRDefault="003419A1" w:rsidP="008C5B40">
      <w:pPr>
        <w:spacing w:after="160" w:line="252" w:lineRule="auto"/>
        <w:contextualSpacing/>
        <w:rPr>
          <w:iCs/>
          <w:sz w:val="24"/>
        </w:rPr>
      </w:pPr>
      <w:r>
        <w:rPr>
          <w:iCs/>
          <w:sz w:val="24"/>
        </w:rPr>
        <w:t>Patti Lloyd- Midstate Technical College</w:t>
      </w:r>
    </w:p>
    <w:p w14:paraId="5D6C894D" w14:textId="6675C99C" w:rsidR="003419A1" w:rsidRDefault="003419A1" w:rsidP="008C5B40">
      <w:pPr>
        <w:spacing w:after="160" w:line="252" w:lineRule="auto"/>
        <w:contextualSpacing/>
        <w:rPr>
          <w:iCs/>
          <w:sz w:val="24"/>
        </w:rPr>
      </w:pPr>
      <w:r>
        <w:rPr>
          <w:iCs/>
          <w:sz w:val="24"/>
        </w:rPr>
        <w:t xml:space="preserve">Rachel Swatloski- Chippewa Valley Technical College </w:t>
      </w:r>
    </w:p>
    <w:p w14:paraId="330D7641" w14:textId="77777777" w:rsidR="003419A1" w:rsidRDefault="003419A1" w:rsidP="008C5B40">
      <w:pPr>
        <w:spacing w:after="160" w:line="252" w:lineRule="auto"/>
        <w:contextualSpacing/>
        <w:rPr>
          <w:iCs/>
          <w:sz w:val="24"/>
        </w:rPr>
      </w:pPr>
    </w:p>
    <w:p w14:paraId="798270C7" w14:textId="77777777" w:rsidR="008C5B40" w:rsidRDefault="008C5B40" w:rsidP="008C5B40">
      <w:pPr>
        <w:spacing w:after="160" w:line="252" w:lineRule="auto"/>
        <w:contextualSpacing/>
        <w:rPr>
          <w:iCs/>
          <w:sz w:val="24"/>
        </w:rPr>
      </w:pPr>
    </w:p>
    <w:p w14:paraId="2A929421" w14:textId="77777777" w:rsidR="00AD63A7" w:rsidRDefault="00AD63A7" w:rsidP="00AD63A7">
      <w:pPr>
        <w:spacing w:after="160" w:line="252" w:lineRule="auto"/>
        <w:contextualSpacing/>
        <w:rPr>
          <w:iCs/>
          <w:sz w:val="24"/>
        </w:rPr>
      </w:pPr>
      <w:r>
        <w:rPr>
          <w:iCs/>
          <w:sz w:val="24"/>
        </w:rPr>
        <w:t xml:space="preserve">For more information on this document or other issues related to Technical Standards, contact a member of the WTCS Health Sciences and Disability Services Work Group. </w:t>
      </w:r>
    </w:p>
    <w:p w14:paraId="12F5D7DD" w14:textId="4FC4462E" w:rsidR="003419A1" w:rsidRDefault="003419A1">
      <w:pPr>
        <w:spacing w:after="160" w:line="259" w:lineRule="auto"/>
        <w:rPr>
          <w:b/>
          <w:iCs/>
          <w:sz w:val="24"/>
        </w:rPr>
      </w:pPr>
      <w:r>
        <w:rPr>
          <w:b/>
          <w:iCs/>
          <w:sz w:val="24"/>
        </w:rPr>
        <w:br w:type="page"/>
      </w:r>
    </w:p>
    <w:p w14:paraId="37C52AC1" w14:textId="77777777" w:rsidR="0015024D" w:rsidRPr="00581508" w:rsidRDefault="0015024D" w:rsidP="0015024D">
      <w:pPr>
        <w:spacing w:after="160" w:line="252" w:lineRule="auto"/>
        <w:contextualSpacing/>
        <w:rPr>
          <w:b/>
          <w:iCs/>
          <w:sz w:val="24"/>
        </w:rPr>
      </w:pPr>
    </w:p>
    <w:p w14:paraId="508D7F5E" w14:textId="583DBD97" w:rsidR="0015024D" w:rsidRPr="00C13FB7" w:rsidRDefault="00381653" w:rsidP="00381653">
      <w:pPr>
        <w:spacing w:after="160" w:line="252" w:lineRule="auto"/>
        <w:contextualSpacing/>
        <w:jc w:val="center"/>
        <w:rPr>
          <w:rFonts w:eastAsia="Times New Roman"/>
          <w:b/>
          <w:iCs/>
          <w:sz w:val="28"/>
        </w:rPr>
      </w:pPr>
      <w:r w:rsidRPr="00C13FB7">
        <w:rPr>
          <w:rFonts w:eastAsia="Times New Roman"/>
          <w:b/>
          <w:iCs/>
          <w:sz w:val="28"/>
        </w:rPr>
        <w:t>Definitions</w:t>
      </w:r>
    </w:p>
    <w:p w14:paraId="3B3C1A4B" w14:textId="77777777" w:rsidR="00381653" w:rsidRPr="00581508" w:rsidRDefault="00381653" w:rsidP="0015024D">
      <w:pPr>
        <w:spacing w:after="160" w:line="252" w:lineRule="auto"/>
        <w:contextualSpacing/>
        <w:rPr>
          <w:rFonts w:eastAsia="Times New Roman"/>
          <w:b/>
          <w:sz w:val="24"/>
        </w:rPr>
      </w:pPr>
    </w:p>
    <w:p w14:paraId="7F4CA3B4" w14:textId="38264B8A" w:rsidR="00381653" w:rsidRDefault="00381653" w:rsidP="00381653">
      <w:pPr>
        <w:spacing w:after="160" w:line="252" w:lineRule="auto"/>
        <w:contextualSpacing/>
        <w:rPr>
          <w:rFonts w:eastAsia="Times New Roman"/>
          <w:sz w:val="24"/>
        </w:rPr>
      </w:pPr>
      <w:r w:rsidRPr="00381653">
        <w:rPr>
          <w:rFonts w:eastAsia="Times New Roman"/>
          <w:b/>
          <w:sz w:val="24"/>
        </w:rPr>
        <w:t>Technical standards</w:t>
      </w:r>
      <w:r w:rsidR="008B6111">
        <w:rPr>
          <w:rFonts w:eastAsia="Times New Roman"/>
          <w:b/>
          <w:sz w:val="24"/>
        </w:rPr>
        <w:t>:</w:t>
      </w:r>
      <w:r>
        <w:rPr>
          <w:rFonts w:eastAsia="Times New Roman"/>
          <w:sz w:val="24"/>
        </w:rPr>
        <w:t xml:space="preserve"> </w:t>
      </w:r>
      <w:r w:rsidR="008B6111">
        <w:rPr>
          <w:rFonts w:eastAsia="Times New Roman"/>
          <w:sz w:val="24"/>
        </w:rPr>
        <w:t>T</w:t>
      </w:r>
      <w:r>
        <w:rPr>
          <w:rFonts w:eastAsia="Times New Roman"/>
          <w:sz w:val="24"/>
        </w:rPr>
        <w:t xml:space="preserve">he “nonacademic criteria essential for the student </w:t>
      </w:r>
      <w:r w:rsidRPr="00381653">
        <w:rPr>
          <w:rFonts w:eastAsia="Times New Roman"/>
          <w:i/>
          <w:sz w:val="24"/>
          <w:u w:val="single"/>
        </w:rPr>
        <w:t>to participate</w:t>
      </w:r>
      <w:r>
        <w:rPr>
          <w:rFonts w:eastAsia="Times New Roman"/>
          <w:sz w:val="24"/>
        </w:rPr>
        <w:t xml:space="preserve"> in the program; they include the attitudes, experiences, and physical </w:t>
      </w:r>
      <w:r w:rsidRPr="00381653">
        <w:rPr>
          <w:rFonts w:eastAsia="Times New Roman"/>
          <w:sz w:val="24"/>
        </w:rPr>
        <w:t>requirements the student must possess in order to learn and perform</w:t>
      </w:r>
      <w:r>
        <w:rPr>
          <w:rFonts w:eastAsia="Times New Roman"/>
          <w:sz w:val="24"/>
        </w:rPr>
        <w:t xml:space="preserve"> the essential requirements of the program” (Blacklock &amp; Montgomery, 2016).</w:t>
      </w:r>
      <w:r w:rsidR="00F83FEE">
        <w:rPr>
          <w:rFonts w:eastAsia="Times New Roman"/>
          <w:sz w:val="24"/>
        </w:rPr>
        <w:t xml:space="preserve"> In short, technical standards are what students need in order </w:t>
      </w:r>
      <w:r w:rsidR="00C76F50">
        <w:rPr>
          <w:rFonts w:eastAsia="Times New Roman"/>
          <w:sz w:val="24"/>
          <w:u w:val="single"/>
        </w:rPr>
        <w:t>enter</w:t>
      </w:r>
      <w:r w:rsidR="00C76F50">
        <w:rPr>
          <w:rFonts w:eastAsia="Times New Roman"/>
          <w:sz w:val="24"/>
        </w:rPr>
        <w:t xml:space="preserve"> a </w:t>
      </w:r>
      <w:r w:rsidR="00F83FEE">
        <w:rPr>
          <w:rFonts w:eastAsia="Times New Roman"/>
          <w:sz w:val="24"/>
        </w:rPr>
        <w:t xml:space="preserve">program. </w:t>
      </w:r>
    </w:p>
    <w:p w14:paraId="283121CF" w14:textId="2C3176D0" w:rsidR="00F83FEE" w:rsidRDefault="00F83FEE" w:rsidP="00F83FEE">
      <w:pPr>
        <w:spacing w:after="160" w:line="252" w:lineRule="auto"/>
        <w:contextualSpacing/>
        <w:jc w:val="center"/>
        <w:rPr>
          <w:rFonts w:eastAsia="Times New Roman"/>
          <w:sz w:val="24"/>
        </w:rPr>
      </w:pPr>
      <w:r w:rsidRPr="00F83FEE">
        <w:rPr>
          <w:rFonts w:eastAsia="Times New Roman"/>
          <w:sz w:val="24"/>
        </w:rPr>
        <w:t>Example: Student</w:t>
      </w:r>
      <w:r>
        <w:rPr>
          <w:rFonts w:eastAsia="Times New Roman"/>
          <w:sz w:val="24"/>
        </w:rPr>
        <w:t xml:space="preserve"> must be able to detect a heartbeat</w:t>
      </w:r>
    </w:p>
    <w:p w14:paraId="0B45E44D" w14:textId="1354272E" w:rsidR="00381653" w:rsidRDefault="00381653" w:rsidP="00381653">
      <w:pPr>
        <w:spacing w:after="160" w:line="252" w:lineRule="auto"/>
        <w:contextualSpacing/>
        <w:rPr>
          <w:rFonts w:eastAsia="Times New Roman"/>
          <w:sz w:val="24"/>
        </w:rPr>
      </w:pPr>
    </w:p>
    <w:p w14:paraId="1E6FD4F2" w14:textId="3D3B98D8" w:rsidR="00381653" w:rsidRDefault="00381653" w:rsidP="00381653">
      <w:pPr>
        <w:spacing w:after="160" w:line="252" w:lineRule="auto"/>
        <w:contextualSpacing/>
        <w:rPr>
          <w:rFonts w:eastAsia="Times New Roman"/>
          <w:sz w:val="24"/>
        </w:rPr>
      </w:pPr>
      <w:r w:rsidRPr="00381653">
        <w:rPr>
          <w:rFonts w:eastAsia="Times New Roman"/>
          <w:b/>
          <w:sz w:val="24"/>
        </w:rPr>
        <w:t xml:space="preserve">Essential </w:t>
      </w:r>
      <w:r w:rsidR="005D6D86">
        <w:rPr>
          <w:rFonts w:eastAsia="Times New Roman"/>
          <w:b/>
          <w:sz w:val="24"/>
        </w:rPr>
        <w:t>requirements (functions)</w:t>
      </w:r>
      <w:r w:rsidR="008B6111">
        <w:rPr>
          <w:rFonts w:eastAsia="Times New Roman"/>
          <w:b/>
          <w:sz w:val="24"/>
        </w:rPr>
        <w:t>:</w:t>
      </w:r>
      <w:r w:rsidR="00C76F50">
        <w:rPr>
          <w:rFonts w:eastAsia="Times New Roman"/>
          <w:sz w:val="24"/>
        </w:rPr>
        <w:t xml:space="preserve"> </w:t>
      </w:r>
      <w:r>
        <w:rPr>
          <w:rFonts w:eastAsia="Times New Roman"/>
          <w:sz w:val="24"/>
        </w:rPr>
        <w:t>“</w:t>
      </w:r>
      <w:r w:rsidR="008B6111">
        <w:rPr>
          <w:rFonts w:eastAsia="Times New Roman"/>
          <w:sz w:val="24"/>
        </w:rPr>
        <w:t>T</w:t>
      </w:r>
      <w:r>
        <w:rPr>
          <w:rFonts w:eastAsia="Times New Roman"/>
          <w:sz w:val="24"/>
        </w:rPr>
        <w:t xml:space="preserve">he expected or </w:t>
      </w:r>
      <w:r w:rsidRPr="00381653">
        <w:rPr>
          <w:rFonts w:eastAsia="Times New Roman"/>
          <w:i/>
          <w:sz w:val="24"/>
          <w:u w:val="single"/>
        </w:rPr>
        <w:t>desired outcomes acquired</w:t>
      </w:r>
      <w:r>
        <w:rPr>
          <w:rFonts w:eastAsia="Times New Roman"/>
          <w:sz w:val="24"/>
        </w:rPr>
        <w:t xml:space="preserve"> through participation in the program and include the skills, knowledge, and judgments </w:t>
      </w:r>
      <w:r w:rsidR="00C76F50">
        <w:rPr>
          <w:rFonts w:eastAsia="Times New Roman"/>
          <w:sz w:val="24"/>
        </w:rPr>
        <w:t>t</w:t>
      </w:r>
      <w:r>
        <w:rPr>
          <w:rFonts w:eastAsia="Times New Roman"/>
          <w:sz w:val="24"/>
        </w:rPr>
        <w:t>hat all students must demonstrate to graduate”</w:t>
      </w:r>
      <w:r w:rsidR="00460E23">
        <w:rPr>
          <w:rFonts w:eastAsia="Times New Roman"/>
          <w:sz w:val="24"/>
        </w:rPr>
        <w:t xml:space="preserve"> </w:t>
      </w:r>
      <w:r>
        <w:rPr>
          <w:rFonts w:eastAsia="Times New Roman"/>
          <w:sz w:val="24"/>
        </w:rPr>
        <w:t>(Blacklock &amp; Montgomery, 2016).</w:t>
      </w:r>
      <w:r w:rsidR="00F83FEE">
        <w:rPr>
          <w:rFonts w:eastAsia="Times New Roman"/>
          <w:sz w:val="24"/>
        </w:rPr>
        <w:t xml:space="preserve"> In short, essential functions are what students need to be able to master </w:t>
      </w:r>
      <w:r w:rsidR="00C76F50" w:rsidRPr="00C76F50">
        <w:rPr>
          <w:rFonts w:eastAsia="Times New Roman"/>
          <w:sz w:val="24"/>
          <w:u w:val="single"/>
        </w:rPr>
        <w:t>to successfully complete</w:t>
      </w:r>
      <w:r w:rsidR="00C76F50">
        <w:rPr>
          <w:rFonts w:eastAsia="Times New Roman"/>
          <w:sz w:val="24"/>
        </w:rPr>
        <w:t xml:space="preserve"> </w:t>
      </w:r>
      <w:r w:rsidR="006E0522">
        <w:rPr>
          <w:rFonts w:eastAsia="Times New Roman"/>
          <w:sz w:val="24"/>
        </w:rPr>
        <w:t>a</w:t>
      </w:r>
      <w:r w:rsidR="00F83FEE">
        <w:rPr>
          <w:rFonts w:eastAsia="Times New Roman"/>
          <w:sz w:val="24"/>
        </w:rPr>
        <w:t xml:space="preserve"> </w:t>
      </w:r>
      <w:r w:rsidR="004376D8">
        <w:rPr>
          <w:rFonts w:eastAsia="Times New Roman"/>
          <w:sz w:val="24"/>
        </w:rPr>
        <w:t xml:space="preserve">course or program. </w:t>
      </w:r>
      <w:r w:rsidR="00F83FEE">
        <w:rPr>
          <w:rFonts w:eastAsia="Times New Roman"/>
          <w:sz w:val="24"/>
        </w:rPr>
        <w:t xml:space="preserve"> </w:t>
      </w:r>
    </w:p>
    <w:p w14:paraId="15C1AD48" w14:textId="77777777" w:rsidR="00C76F50" w:rsidRDefault="00C76F50" w:rsidP="00381653">
      <w:pPr>
        <w:spacing w:after="160" w:line="252" w:lineRule="auto"/>
        <w:contextualSpacing/>
        <w:rPr>
          <w:rFonts w:eastAsia="Times New Roman"/>
          <w:sz w:val="24"/>
        </w:rPr>
      </w:pPr>
    </w:p>
    <w:p w14:paraId="73CC004E" w14:textId="5A052DB7" w:rsidR="00F83FEE" w:rsidRDefault="00F83FEE" w:rsidP="00F83FEE">
      <w:pPr>
        <w:spacing w:after="160" w:line="252" w:lineRule="auto"/>
        <w:contextualSpacing/>
        <w:jc w:val="center"/>
        <w:rPr>
          <w:rFonts w:eastAsia="Times New Roman"/>
          <w:sz w:val="24"/>
        </w:rPr>
      </w:pPr>
      <w:r>
        <w:rPr>
          <w:rFonts w:eastAsia="Times New Roman"/>
          <w:sz w:val="24"/>
        </w:rPr>
        <w:t xml:space="preserve">Example: Student must be able to </w:t>
      </w:r>
      <w:r w:rsidR="007E216F">
        <w:rPr>
          <w:rFonts w:eastAsia="Times New Roman"/>
          <w:sz w:val="24"/>
        </w:rPr>
        <w:t>interpret an Electrocardiogram (ECG) strip</w:t>
      </w:r>
    </w:p>
    <w:p w14:paraId="1AA02FB0" w14:textId="77777777" w:rsidR="00F83FEE" w:rsidRDefault="00F83FEE" w:rsidP="00F83FEE">
      <w:pPr>
        <w:spacing w:after="160" w:line="252" w:lineRule="auto"/>
        <w:contextualSpacing/>
        <w:jc w:val="center"/>
        <w:rPr>
          <w:rFonts w:eastAsia="Times New Roman"/>
          <w:sz w:val="24"/>
        </w:rPr>
      </w:pPr>
    </w:p>
    <w:p w14:paraId="21481C0E" w14:textId="39DA58EE" w:rsidR="004650AC" w:rsidRPr="005F1BBE" w:rsidRDefault="00657C6C" w:rsidP="00657C6C">
      <w:pPr>
        <w:spacing w:after="160" w:line="252" w:lineRule="auto"/>
        <w:contextualSpacing/>
        <w:rPr>
          <w:rFonts w:asciiTheme="minorHAnsi" w:hAnsiTheme="minorHAnsi" w:cstheme="minorHAnsi"/>
          <w:color w:val="333333"/>
          <w:sz w:val="24"/>
          <w:shd w:val="clear" w:color="auto" w:fill="FFFFFF"/>
        </w:rPr>
      </w:pPr>
      <w:r w:rsidRPr="004650AC">
        <w:rPr>
          <w:rFonts w:asciiTheme="minorHAnsi" w:hAnsiTheme="minorHAnsi" w:cstheme="minorHAnsi"/>
          <w:b/>
          <w:bCs/>
          <w:color w:val="000000"/>
          <w:sz w:val="24"/>
          <w:szCs w:val="27"/>
        </w:rPr>
        <w:t>Reasonable</w:t>
      </w:r>
      <w:r w:rsidR="004650AC" w:rsidRPr="004650AC">
        <w:rPr>
          <w:rFonts w:asciiTheme="minorHAnsi" w:hAnsiTheme="minorHAnsi" w:cstheme="minorHAnsi"/>
          <w:b/>
          <w:bCs/>
          <w:color w:val="000000"/>
          <w:sz w:val="24"/>
          <w:szCs w:val="27"/>
        </w:rPr>
        <w:t xml:space="preserve"> accommodations: </w:t>
      </w:r>
      <w:r w:rsidR="004650AC" w:rsidRPr="004650AC">
        <w:rPr>
          <w:rFonts w:asciiTheme="minorHAnsi" w:hAnsiTheme="minorHAnsi" w:cstheme="minorHAnsi"/>
          <w:bCs/>
          <w:color w:val="000000"/>
          <w:sz w:val="24"/>
          <w:szCs w:val="27"/>
        </w:rPr>
        <w:t xml:space="preserve"> </w:t>
      </w:r>
      <w:r w:rsidR="004650AC" w:rsidRPr="004650AC">
        <w:rPr>
          <w:rFonts w:asciiTheme="minorHAnsi" w:hAnsiTheme="minorHAnsi" w:cstheme="minorHAnsi"/>
          <w:color w:val="333333"/>
          <w:sz w:val="24"/>
          <w:shd w:val="clear" w:color="auto" w:fill="FFFFFF"/>
        </w:rPr>
        <w:t xml:space="preserve">Accommodations and modifications of policies and practices </w:t>
      </w:r>
      <w:r w:rsidR="004650AC">
        <w:rPr>
          <w:rFonts w:asciiTheme="minorHAnsi" w:hAnsiTheme="minorHAnsi" w:cstheme="minorHAnsi"/>
          <w:color w:val="333333"/>
          <w:sz w:val="24"/>
          <w:shd w:val="clear" w:color="auto" w:fill="FFFFFF"/>
        </w:rPr>
        <w:t xml:space="preserve">intended to provide equal access for </w:t>
      </w:r>
      <w:r w:rsidR="005F1BBE">
        <w:rPr>
          <w:rFonts w:asciiTheme="minorHAnsi" w:hAnsiTheme="minorHAnsi" w:cstheme="minorHAnsi"/>
          <w:color w:val="333333"/>
          <w:sz w:val="24"/>
          <w:shd w:val="clear" w:color="auto" w:fill="FFFFFF"/>
        </w:rPr>
        <w:t xml:space="preserve">otherwise qualified </w:t>
      </w:r>
      <w:r w:rsidR="004650AC">
        <w:rPr>
          <w:rFonts w:asciiTheme="minorHAnsi" w:hAnsiTheme="minorHAnsi" w:cstheme="minorHAnsi"/>
          <w:color w:val="333333"/>
          <w:sz w:val="24"/>
          <w:shd w:val="clear" w:color="auto" w:fill="FFFFFF"/>
        </w:rPr>
        <w:t xml:space="preserve">students with disabilities that </w:t>
      </w:r>
      <w:r w:rsidR="004650AC" w:rsidRPr="004650AC">
        <w:rPr>
          <w:rFonts w:asciiTheme="minorHAnsi" w:hAnsiTheme="minorHAnsi" w:cstheme="minorHAnsi"/>
          <w:b/>
          <w:color w:val="333333"/>
          <w:sz w:val="24"/>
          <w:u w:val="single"/>
          <w:shd w:val="clear" w:color="auto" w:fill="FFFFFF"/>
        </w:rPr>
        <w:t>do not</w:t>
      </w:r>
      <w:r w:rsidR="004650AC" w:rsidRPr="004650AC">
        <w:rPr>
          <w:rFonts w:asciiTheme="minorHAnsi" w:hAnsiTheme="minorHAnsi" w:cstheme="minorHAnsi"/>
          <w:color w:val="333333"/>
          <w:sz w:val="24"/>
          <w:shd w:val="clear" w:color="auto" w:fill="FFFFFF"/>
        </w:rPr>
        <w:t xml:space="preserve"> fundamentally alter the nature of the service, program, or activity or give rise to an undue financial or administrative hardship</w:t>
      </w:r>
      <w:r w:rsidR="004650AC">
        <w:rPr>
          <w:rFonts w:asciiTheme="minorHAnsi" w:hAnsiTheme="minorHAnsi" w:cstheme="minorHAnsi"/>
          <w:color w:val="333333"/>
          <w:sz w:val="24"/>
          <w:shd w:val="clear" w:color="auto" w:fill="FFFFFF"/>
        </w:rPr>
        <w:t xml:space="preserve"> (ADA National Network, 2019)</w:t>
      </w:r>
      <w:r w:rsidR="005F1BBE">
        <w:rPr>
          <w:rFonts w:asciiTheme="minorHAnsi" w:hAnsiTheme="minorHAnsi" w:cstheme="minorHAnsi"/>
          <w:color w:val="333333"/>
          <w:sz w:val="24"/>
          <w:shd w:val="clear" w:color="auto" w:fill="FFFFFF"/>
        </w:rPr>
        <w:t xml:space="preserve">. </w:t>
      </w:r>
    </w:p>
    <w:p w14:paraId="071CC3BE" w14:textId="77777777" w:rsidR="00657C6C" w:rsidRDefault="00657C6C" w:rsidP="00657C6C">
      <w:pPr>
        <w:spacing w:after="160" w:line="252" w:lineRule="auto"/>
        <w:contextualSpacing/>
        <w:rPr>
          <w:rFonts w:eastAsia="Times New Roman"/>
          <w:b/>
          <w:sz w:val="24"/>
        </w:rPr>
      </w:pPr>
    </w:p>
    <w:p w14:paraId="50C5E1C9" w14:textId="0297E9C4" w:rsidR="005D112C" w:rsidRDefault="00657C6C" w:rsidP="00657C6C">
      <w:pPr>
        <w:spacing w:after="160" w:line="252" w:lineRule="auto"/>
        <w:contextualSpacing/>
        <w:rPr>
          <w:color w:val="000000"/>
          <w:sz w:val="24"/>
          <w:szCs w:val="27"/>
        </w:rPr>
      </w:pPr>
      <w:r w:rsidRPr="005D6D86">
        <w:rPr>
          <w:rFonts w:eastAsia="Times New Roman"/>
          <w:b/>
          <w:sz w:val="24"/>
        </w:rPr>
        <w:t>Undue hardship</w:t>
      </w:r>
      <w:r w:rsidR="000876D7">
        <w:rPr>
          <w:rFonts w:eastAsia="Times New Roman"/>
          <w:b/>
          <w:sz w:val="24"/>
        </w:rPr>
        <w:t xml:space="preserve"> (burden)</w:t>
      </w:r>
      <w:r w:rsidR="008B6111">
        <w:rPr>
          <w:rFonts w:eastAsia="Times New Roman"/>
          <w:b/>
          <w:sz w:val="24"/>
        </w:rPr>
        <w:t>:</w:t>
      </w:r>
      <w:r>
        <w:rPr>
          <w:rFonts w:eastAsia="Times New Roman"/>
          <w:sz w:val="24"/>
        </w:rPr>
        <w:t xml:space="preserve"> </w:t>
      </w:r>
      <w:r w:rsidRPr="005D6D86">
        <w:rPr>
          <w:color w:val="000000"/>
          <w:sz w:val="24"/>
          <w:szCs w:val="27"/>
        </w:rPr>
        <w:t>"Undue hardship" means significant difficulty or expense relative to the operation of a public entity's program</w:t>
      </w:r>
      <w:r w:rsidR="00A26B7B">
        <w:rPr>
          <w:color w:val="000000"/>
          <w:sz w:val="24"/>
          <w:szCs w:val="27"/>
        </w:rPr>
        <w:t xml:space="preserve"> </w:t>
      </w:r>
      <w:r w:rsidR="00A26B7B" w:rsidRPr="00ED697B">
        <w:rPr>
          <w:color w:val="000000"/>
          <w:sz w:val="24"/>
          <w:szCs w:val="27"/>
        </w:rPr>
        <w:t>when considering the entir</w:t>
      </w:r>
      <w:r w:rsidR="00440EE9" w:rsidRPr="00ED697B">
        <w:rPr>
          <w:color w:val="000000"/>
          <w:sz w:val="24"/>
          <w:szCs w:val="27"/>
        </w:rPr>
        <w:t>e operating</w:t>
      </w:r>
      <w:r w:rsidR="00A26B7B" w:rsidRPr="00ED697B">
        <w:rPr>
          <w:color w:val="000000"/>
          <w:sz w:val="24"/>
          <w:szCs w:val="27"/>
        </w:rPr>
        <w:t xml:space="preserve"> </w:t>
      </w:r>
      <w:r w:rsidR="00440EE9" w:rsidRPr="00ED697B">
        <w:rPr>
          <w:color w:val="000000"/>
          <w:sz w:val="24"/>
          <w:szCs w:val="27"/>
        </w:rPr>
        <w:t>budget</w:t>
      </w:r>
      <w:r w:rsidR="000876D7">
        <w:rPr>
          <w:color w:val="000000"/>
          <w:sz w:val="24"/>
          <w:szCs w:val="27"/>
        </w:rPr>
        <w:t xml:space="preserve"> (</w:t>
      </w:r>
      <w:proofErr w:type="spellStart"/>
      <w:r w:rsidR="000876D7">
        <w:rPr>
          <w:color w:val="000000"/>
          <w:sz w:val="24"/>
          <w:szCs w:val="27"/>
        </w:rPr>
        <w:fldChar w:fldCharType="begin"/>
      </w:r>
      <w:r w:rsidR="000876D7">
        <w:rPr>
          <w:color w:val="000000"/>
          <w:sz w:val="24"/>
          <w:szCs w:val="27"/>
        </w:rPr>
        <w:instrText xml:space="preserve"> HYPERLINK "https://www.leagle.com/decision/infdco20160121d03" </w:instrText>
      </w:r>
      <w:r w:rsidR="000876D7">
        <w:rPr>
          <w:color w:val="000000"/>
          <w:sz w:val="24"/>
          <w:szCs w:val="27"/>
        </w:rPr>
        <w:fldChar w:fldCharType="separate"/>
      </w:r>
      <w:r w:rsidR="000876D7" w:rsidRPr="000876D7">
        <w:rPr>
          <w:rStyle w:val="Hyperlink"/>
          <w:sz w:val="24"/>
          <w:szCs w:val="27"/>
        </w:rPr>
        <w:t>Searls</w:t>
      </w:r>
      <w:proofErr w:type="spellEnd"/>
      <w:r w:rsidR="000876D7" w:rsidRPr="000876D7">
        <w:rPr>
          <w:rStyle w:val="Hyperlink"/>
          <w:sz w:val="24"/>
          <w:szCs w:val="27"/>
        </w:rPr>
        <w:t xml:space="preserve"> v. John Hopkins Hospital</w:t>
      </w:r>
      <w:r w:rsidR="000876D7">
        <w:rPr>
          <w:color w:val="000000"/>
          <w:sz w:val="24"/>
          <w:szCs w:val="27"/>
        </w:rPr>
        <w:fldChar w:fldCharType="end"/>
      </w:r>
      <w:r w:rsidR="000876D7">
        <w:rPr>
          <w:color w:val="000000"/>
          <w:sz w:val="24"/>
          <w:szCs w:val="27"/>
        </w:rPr>
        <w:t xml:space="preserve">, 2016) </w:t>
      </w:r>
      <w:r w:rsidRPr="005D6D86">
        <w:rPr>
          <w:color w:val="000000"/>
          <w:sz w:val="24"/>
          <w:szCs w:val="27"/>
        </w:rPr>
        <w:t xml:space="preserve">. </w:t>
      </w:r>
      <w:r w:rsidR="00D95945">
        <w:rPr>
          <w:color w:val="000000"/>
          <w:sz w:val="24"/>
          <w:szCs w:val="27"/>
        </w:rPr>
        <w:t xml:space="preserve">Colleges </w:t>
      </w:r>
      <w:r w:rsidR="00A2040F">
        <w:rPr>
          <w:color w:val="000000"/>
          <w:sz w:val="24"/>
          <w:szCs w:val="27"/>
        </w:rPr>
        <w:t>that attempt to reject an</w:t>
      </w:r>
      <w:r w:rsidR="00D95945">
        <w:rPr>
          <w:color w:val="000000"/>
          <w:sz w:val="24"/>
          <w:szCs w:val="27"/>
        </w:rPr>
        <w:t xml:space="preserve"> accommodation based on undue hardship would need to demonstrate a college-wide budgetary process.</w:t>
      </w:r>
      <w:r w:rsidR="003F1FCB">
        <w:rPr>
          <w:color w:val="000000"/>
          <w:sz w:val="24"/>
          <w:szCs w:val="27"/>
        </w:rPr>
        <w:t xml:space="preserve"> According to case law, and comment from Office for Civil Rights representatives, proving undue hardship is not likely to be successful, especially at a public entity (</w:t>
      </w:r>
      <w:r w:rsidR="00D31374">
        <w:rPr>
          <w:color w:val="000000"/>
          <w:sz w:val="24"/>
          <w:szCs w:val="27"/>
        </w:rPr>
        <w:t xml:space="preserve">Easton, Leiter &amp; Mobley, 2019; </w:t>
      </w:r>
      <w:hyperlink r:id="rId7" w:history="1">
        <w:proofErr w:type="spellStart"/>
        <w:r w:rsidR="003F1FCB" w:rsidRPr="003F1FCB">
          <w:rPr>
            <w:rStyle w:val="Hyperlink"/>
            <w:sz w:val="24"/>
            <w:szCs w:val="27"/>
          </w:rPr>
          <w:t>Reyazzudin</w:t>
        </w:r>
        <w:proofErr w:type="spellEnd"/>
        <w:r w:rsidR="003F1FCB" w:rsidRPr="003F1FCB">
          <w:rPr>
            <w:rStyle w:val="Hyperlink"/>
            <w:sz w:val="24"/>
            <w:szCs w:val="27"/>
          </w:rPr>
          <w:t xml:space="preserve"> v. Montgomery County, Maryland</w:t>
        </w:r>
      </w:hyperlink>
      <w:r w:rsidR="003F1FCB">
        <w:rPr>
          <w:color w:val="000000"/>
          <w:sz w:val="24"/>
          <w:szCs w:val="27"/>
        </w:rPr>
        <w:t>)</w:t>
      </w:r>
      <w:r w:rsidR="00A2040F">
        <w:rPr>
          <w:color w:val="000000"/>
          <w:sz w:val="24"/>
          <w:szCs w:val="27"/>
        </w:rPr>
        <w:t>.</w:t>
      </w:r>
      <w:r w:rsidR="00D95945">
        <w:rPr>
          <w:color w:val="000000"/>
          <w:sz w:val="24"/>
          <w:szCs w:val="27"/>
        </w:rPr>
        <w:t xml:space="preserve"> </w:t>
      </w:r>
      <w:r w:rsidRPr="005D6D86">
        <w:rPr>
          <w:color w:val="000000"/>
          <w:sz w:val="24"/>
          <w:szCs w:val="27"/>
        </w:rPr>
        <w:t>Where a</w:t>
      </w:r>
      <w:r w:rsidR="000876D7">
        <w:rPr>
          <w:color w:val="000000"/>
          <w:sz w:val="24"/>
          <w:szCs w:val="27"/>
        </w:rPr>
        <w:t xml:space="preserve">n </w:t>
      </w:r>
      <w:r w:rsidRPr="005D6D86">
        <w:rPr>
          <w:color w:val="000000"/>
          <w:sz w:val="24"/>
          <w:szCs w:val="27"/>
        </w:rPr>
        <w:t>accommodation would result in an undue hardship, the public entity must determine if another accommodation is available that would not result in an undue hardship</w:t>
      </w:r>
      <w:r w:rsidR="005F1BBE">
        <w:rPr>
          <w:color w:val="000000"/>
          <w:sz w:val="24"/>
          <w:szCs w:val="27"/>
        </w:rPr>
        <w:t xml:space="preserve"> (ADA II 4.3200). </w:t>
      </w:r>
    </w:p>
    <w:p w14:paraId="6FA4695F" w14:textId="0485590F" w:rsidR="00657C6C" w:rsidRDefault="00657C6C" w:rsidP="00381653">
      <w:pPr>
        <w:spacing w:after="160" w:line="252" w:lineRule="auto"/>
        <w:contextualSpacing/>
        <w:rPr>
          <w:rFonts w:eastAsia="Times New Roman"/>
          <w:sz w:val="24"/>
        </w:rPr>
      </w:pPr>
    </w:p>
    <w:p w14:paraId="2C1C872F" w14:textId="18EFA938" w:rsidR="005F1BBE" w:rsidRDefault="005F1BBE" w:rsidP="00381653">
      <w:pPr>
        <w:spacing w:after="160" w:line="252" w:lineRule="auto"/>
        <w:contextualSpacing/>
        <w:rPr>
          <w:color w:val="000000"/>
          <w:sz w:val="24"/>
          <w:szCs w:val="24"/>
        </w:rPr>
      </w:pPr>
      <w:r w:rsidRPr="005F1BBE">
        <w:rPr>
          <w:rFonts w:eastAsia="Times New Roman"/>
          <w:b/>
          <w:sz w:val="24"/>
          <w:szCs w:val="24"/>
        </w:rPr>
        <w:t>Otherwise qualified</w:t>
      </w:r>
      <w:r w:rsidR="008B6111">
        <w:rPr>
          <w:rFonts w:eastAsia="Times New Roman"/>
          <w:b/>
          <w:sz w:val="24"/>
          <w:szCs w:val="24"/>
        </w:rPr>
        <w:t>:</w:t>
      </w:r>
      <w:r w:rsidRPr="005F1BBE">
        <w:rPr>
          <w:rFonts w:eastAsia="Times New Roman"/>
          <w:sz w:val="24"/>
          <w:szCs w:val="24"/>
        </w:rPr>
        <w:t xml:space="preserve"> </w:t>
      </w:r>
      <w:r w:rsidR="008B6111">
        <w:rPr>
          <w:color w:val="000000"/>
          <w:sz w:val="24"/>
          <w:szCs w:val="24"/>
        </w:rPr>
        <w:t>T</w:t>
      </w:r>
      <w:r w:rsidR="00234504" w:rsidRPr="005F1BBE">
        <w:rPr>
          <w:color w:val="000000"/>
          <w:sz w:val="24"/>
          <w:szCs w:val="24"/>
        </w:rPr>
        <w:t>o</w:t>
      </w:r>
      <w:r w:rsidRPr="005F1BBE">
        <w:rPr>
          <w:color w:val="000000"/>
          <w:sz w:val="24"/>
          <w:szCs w:val="24"/>
        </w:rPr>
        <w:t xml:space="preserve"> be qualified, the individual with a disability must meet the essential </w:t>
      </w:r>
      <w:r w:rsidR="00F610DC">
        <w:rPr>
          <w:color w:val="000000"/>
          <w:sz w:val="24"/>
          <w:szCs w:val="24"/>
        </w:rPr>
        <w:t>academic and technical</w:t>
      </w:r>
      <w:r w:rsidRPr="005F1BBE">
        <w:rPr>
          <w:color w:val="000000"/>
          <w:sz w:val="24"/>
          <w:szCs w:val="24"/>
        </w:rPr>
        <w:t xml:space="preserve"> (technical standards)</w:t>
      </w:r>
      <w:r w:rsidR="00F610DC">
        <w:rPr>
          <w:color w:val="000000"/>
          <w:sz w:val="24"/>
          <w:szCs w:val="24"/>
        </w:rPr>
        <w:t xml:space="preserve"> required</w:t>
      </w:r>
      <w:r w:rsidRPr="005F1BBE">
        <w:rPr>
          <w:color w:val="000000"/>
          <w:sz w:val="24"/>
          <w:szCs w:val="24"/>
        </w:rPr>
        <w:t xml:space="preserve"> for</w:t>
      </w:r>
      <w:r w:rsidR="00F610DC">
        <w:rPr>
          <w:color w:val="000000"/>
          <w:sz w:val="24"/>
          <w:szCs w:val="24"/>
        </w:rPr>
        <w:t xml:space="preserve"> admission and</w:t>
      </w:r>
      <w:r w:rsidRPr="005F1BBE">
        <w:rPr>
          <w:color w:val="000000"/>
          <w:sz w:val="24"/>
          <w:szCs w:val="24"/>
        </w:rPr>
        <w:t xml:space="preserve"> participation</w:t>
      </w:r>
      <w:r w:rsidR="00F610DC">
        <w:rPr>
          <w:color w:val="000000"/>
          <w:sz w:val="24"/>
          <w:szCs w:val="24"/>
        </w:rPr>
        <w:t xml:space="preserve"> in a program</w:t>
      </w:r>
      <w:r w:rsidRPr="005F1BBE">
        <w:rPr>
          <w:color w:val="000000"/>
          <w:sz w:val="24"/>
          <w:szCs w:val="24"/>
        </w:rPr>
        <w:t xml:space="preserve"> with or without accommodation</w:t>
      </w:r>
      <w:r>
        <w:rPr>
          <w:color w:val="000000"/>
          <w:sz w:val="24"/>
          <w:szCs w:val="24"/>
        </w:rPr>
        <w:t xml:space="preserve"> (ADA II 2.800</w:t>
      </w:r>
      <w:r w:rsidR="00F610DC">
        <w:rPr>
          <w:color w:val="000000"/>
          <w:sz w:val="24"/>
          <w:szCs w:val="24"/>
        </w:rPr>
        <w:t xml:space="preserve">; </w:t>
      </w:r>
      <w:r w:rsidR="00F610DC" w:rsidRPr="00F610DC">
        <w:rPr>
          <w:color w:val="000000"/>
          <w:sz w:val="24"/>
          <w:szCs w:val="24"/>
        </w:rPr>
        <w:t>3</w:t>
      </w:r>
      <w:r w:rsidR="00F610DC" w:rsidRPr="00F610DC">
        <w:rPr>
          <w:color w:val="000000"/>
          <w:sz w:val="24"/>
          <w:szCs w:val="24"/>
          <w:shd w:val="clear" w:color="auto" w:fill="FFFFFF"/>
        </w:rPr>
        <w:t>4 CFR §104.3(l)(3)</w:t>
      </w:r>
      <w:r w:rsidRPr="00F610DC">
        <w:rPr>
          <w:color w:val="000000"/>
          <w:sz w:val="24"/>
          <w:szCs w:val="24"/>
        </w:rPr>
        <w:t>).</w:t>
      </w:r>
      <w:r w:rsidRPr="00F610DC">
        <w:rPr>
          <w:color w:val="000000"/>
          <w:sz w:val="28"/>
          <w:szCs w:val="24"/>
        </w:rPr>
        <w:t xml:space="preserve"> </w:t>
      </w:r>
    </w:p>
    <w:p w14:paraId="5D1D4DC2" w14:textId="77777777" w:rsidR="006662DE" w:rsidRDefault="006662DE" w:rsidP="00381653">
      <w:pPr>
        <w:spacing w:after="160" w:line="252" w:lineRule="auto"/>
        <w:contextualSpacing/>
        <w:rPr>
          <w:color w:val="000000"/>
          <w:sz w:val="24"/>
          <w:szCs w:val="24"/>
        </w:rPr>
      </w:pPr>
    </w:p>
    <w:p w14:paraId="4C3F44A0" w14:textId="77777777" w:rsidR="005F1BBE" w:rsidRDefault="005F1BBE" w:rsidP="00381653">
      <w:pPr>
        <w:spacing w:after="160" w:line="252" w:lineRule="auto"/>
        <w:contextualSpacing/>
        <w:rPr>
          <w:color w:val="000000"/>
          <w:sz w:val="24"/>
          <w:szCs w:val="24"/>
        </w:rPr>
      </w:pPr>
    </w:p>
    <w:p w14:paraId="3DAB0191" w14:textId="2205F200" w:rsidR="005F1BBE" w:rsidRDefault="005F1BBE" w:rsidP="00381653">
      <w:pPr>
        <w:spacing w:after="160" w:line="252" w:lineRule="auto"/>
        <w:contextualSpacing/>
        <w:rPr>
          <w:color w:val="000000"/>
          <w:sz w:val="24"/>
          <w:szCs w:val="24"/>
        </w:rPr>
      </w:pPr>
    </w:p>
    <w:p w14:paraId="5921B334" w14:textId="7AFD1C44" w:rsidR="00E733D6" w:rsidRDefault="00E733D6">
      <w:pPr>
        <w:spacing w:after="160" w:line="259" w:lineRule="auto"/>
        <w:rPr>
          <w:color w:val="000000"/>
          <w:sz w:val="24"/>
          <w:szCs w:val="24"/>
        </w:rPr>
      </w:pPr>
      <w:r>
        <w:rPr>
          <w:color w:val="000000"/>
          <w:sz w:val="24"/>
          <w:szCs w:val="24"/>
        </w:rPr>
        <w:br w:type="page"/>
      </w:r>
    </w:p>
    <w:p w14:paraId="6E4637F4" w14:textId="77777777" w:rsidR="003419A1" w:rsidRDefault="003419A1" w:rsidP="00381653">
      <w:pPr>
        <w:spacing w:after="160" w:line="252" w:lineRule="auto"/>
        <w:contextualSpacing/>
        <w:rPr>
          <w:color w:val="000000"/>
          <w:sz w:val="24"/>
          <w:szCs w:val="24"/>
        </w:rPr>
      </w:pPr>
    </w:p>
    <w:p w14:paraId="0AB65138" w14:textId="54CD79C7" w:rsidR="005F1BBE" w:rsidRPr="00C13FB7" w:rsidRDefault="002D2F1D" w:rsidP="005F1BBE">
      <w:pPr>
        <w:spacing w:after="160" w:line="252" w:lineRule="auto"/>
        <w:contextualSpacing/>
        <w:jc w:val="center"/>
        <w:rPr>
          <w:rFonts w:eastAsia="Times New Roman"/>
          <w:b/>
          <w:sz w:val="28"/>
        </w:rPr>
      </w:pPr>
      <w:r>
        <w:rPr>
          <w:b/>
          <w:color w:val="000000"/>
          <w:sz w:val="28"/>
          <w:szCs w:val="24"/>
        </w:rPr>
        <w:t xml:space="preserve">The Importance of Technical Standards </w:t>
      </w:r>
    </w:p>
    <w:p w14:paraId="602BB43E" w14:textId="77777777" w:rsidR="00657C6C" w:rsidRDefault="00657C6C" w:rsidP="00381653">
      <w:pPr>
        <w:spacing w:after="160" w:line="252" w:lineRule="auto"/>
        <w:contextualSpacing/>
        <w:rPr>
          <w:rFonts w:eastAsia="Times New Roman"/>
          <w:sz w:val="24"/>
        </w:rPr>
      </w:pPr>
    </w:p>
    <w:p w14:paraId="64417ECD" w14:textId="22EFF583" w:rsidR="005D6D86" w:rsidRDefault="006662DE" w:rsidP="00381653">
      <w:pPr>
        <w:spacing w:after="160" w:line="252" w:lineRule="auto"/>
        <w:contextualSpacing/>
        <w:rPr>
          <w:rFonts w:eastAsia="Times New Roman"/>
          <w:sz w:val="24"/>
        </w:rPr>
      </w:pPr>
      <w:r>
        <w:rPr>
          <w:rFonts w:eastAsia="Times New Roman"/>
          <w:sz w:val="24"/>
        </w:rPr>
        <w:t xml:space="preserve">Technical standards and </w:t>
      </w:r>
      <w:r w:rsidR="00F83FEE">
        <w:rPr>
          <w:rFonts w:eastAsia="Times New Roman"/>
          <w:sz w:val="24"/>
        </w:rPr>
        <w:t xml:space="preserve">essential functions </w:t>
      </w:r>
      <w:r>
        <w:rPr>
          <w:rFonts w:eastAsia="Times New Roman"/>
          <w:sz w:val="24"/>
        </w:rPr>
        <w:t xml:space="preserve">are both </w:t>
      </w:r>
      <w:r w:rsidR="00F83FEE">
        <w:rPr>
          <w:rFonts w:eastAsia="Times New Roman"/>
          <w:sz w:val="24"/>
        </w:rPr>
        <w:t>important for clearly communicating to students what is expected</w:t>
      </w:r>
      <w:r w:rsidR="00C76F50">
        <w:rPr>
          <w:rFonts w:eastAsia="Times New Roman"/>
          <w:sz w:val="24"/>
        </w:rPr>
        <w:t xml:space="preserve"> upon entering and exiting a program</w:t>
      </w:r>
      <w:r w:rsidR="00F83FEE">
        <w:rPr>
          <w:rFonts w:eastAsia="Times New Roman"/>
          <w:sz w:val="24"/>
        </w:rPr>
        <w:t>.</w:t>
      </w:r>
      <w:r w:rsidR="003A53D5">
        <w:rPr>
          <w:rFonts w:eastAsia="Times New Roman"/>
          <w:sz w:val="24"/>
        </w:rPr>
        <w:t xml:space="preserve"> Having both gives students clarity around what the criteria are for getting into the program (technical standards) and for successfully completing the program (essential functions). </w:t>
      </w:r>
      <w:r w:rsidR="008C5E9C">
        <w:rPr>
          <w:rFonts w:eastAsia="Times New Roman"/>
          <w:sz w:val="24"/>
        </w:rPr>
        <w:t xml:space="preserve">Technical standards clarify program requirements. They are an important document that provides consistency and transparency to students, faculty, administrators, and disability services. </w:t>
      </w:r>
      <w:r w:rsidR="00F83FEE">
        <w:rPr>
          <w:rFonts w:eastAsia="Times New Roman"/>
          <w:sz w:val="24"/>
        </w:rPr>
        <w:t xml:space="preserve"> </w:t>
      </w:r>
    </w:p>
    <w:p w14:paraId="39D309E1" w14:textId="702EC62A" w:rsidR="00234504" w:rsidRDefault="00234504" w:rsidP="00381653">
      <w:pPr>
        <w:spacing w:after="160" w:line="252" w:lineRule="auto"/>
        <w:contextualSpacing/>
        <w:rPr>
          <w:rFonts w:eastAsia="Times New Roman"/>
          <w:sz w:val="24"/>
        </w:rPr>
      </w:pPr>
    </w:p>
    <w:p w14:paraId="4D7539C2" w14:textId="683B99BF" w:rsidR="00234504" w:rsidRDefault="006A1849" w:rsidP="00381653">
      <w:pPr>
        <w:spacing w:after="160" w:line="252" w:lineRule="auto"/>
        <w:contextualSpacing/>
        <w:rPr>
          <w:rFonts w:eastAsia="Times New Roman"/>
          <w:sz w:val="24"/>
        </w:rPr>
      </w:pPr>
      <w:r>
        <w:rPr>
          <w:rFonts w:eastAsia="Times New Roman"/>
          <w:sz w:val="24"/>
        </w:rPr>
        <w:t>Students should have access to</w:t>
      </w:r>
      <w:r w:rsidR="00640B81">
        <w:rPr>
          <w:rFonts w:eastAsia="Times New Roman"/>
          <w:sz w:val="24"/>
        </w:rPr>
        <w:t xml:space="preserve"> </w:t>
      </w:r>
      <w:r w:rsidR="00234504">
        <w:rPr>
          <w:rFonts w:eastAsia="Times New Roman"/>
          <w:sz w:val="24"/>
        </w:rPr>
        <w:t xml:space="preserve">the technical standards of their program of interest </w:t>
      </w:r>
      <w:r w:rsidR="00063845">
        <w:rPr>
          <w:rFonts w:eastAsia="Times New Roman"/>
          <w:sz w:val="24"/>
        </w:rPr>
        <w:t>prior to enrollment in order to determine and secure accommodations</w:t>
      </w:r>
      <w:r w:rsidR="005F5B0D">
        <w:rPr>
          <w:rFonts w:eastAsia="Times New Roman"/>
          <w:sz w:val="24"/>
        </w:rPr>
        <w:t xml:space="preserve">. This requires recruitment, career services, advising, and faculty to have </w:t>
      </w:r>
      <w:r w:rsidR="000E792D">
        <w:rPr>
          <w:rFonts w:eastAsia="Times New Roman"/>
          <w:sz w:val="24"/>
        </w:rPr>
        <w:t>access to the standards</w:t>
      </w:r>
      <w:r w:rsidR="005F5B0D">
        <w:rPr>
          <w:rFonts w:eastAsia="Times New Roman"/>
          <w:sz w:val="24"/>
        </w:rPr>
        <w:t xml:space="preserve">, be knowledgeable of the accommodations </w:t>
      </w:r>
      <w:r w:rsidR="008C5E9C">
        <w:rPr>
          <w:rFonts w:eastAsia="Times New Roman"/>
          <w:sz w:val="24"/>
        </w:rPr>
        <w:t xml:space="preserve">request </w:t>
      </w:r>
      <w:r w:rsidR="005F5B0D">
        <w:rPr>
          <w:rFonts w:eastAsia="Times New Roman"/>
          <w:sz w:val="24"/>
        </w:rPr>
        <w:t>process</w:t>
      </w:r>
      <w:r w:rsidR="008C5E9C">
        <w:rPr>
          <w:rFonts w:eastAsia="Times New Roman"/>
          <w:sz w:val="24"/>
        </w:rPr>
        <w:t xml:space="preserve">, and provide this information to the student. </w:t>
      </w:r>
      <w:r w:rsidR="005F5B0D">
        <w:rPr>
          <w:rFonts w:eastAsia="Times New Roman"/>
          <w:sz w:val="24"/>
        </w:rPr>
        <w:t xml:space="preserve"> </w:t>
      </w:r>
    </w:p>
    <w:p w14:paraId="1F4156B5" w14:textId="77777777" w:rsidR="005D6D86" w:rsidRDefault="005D6D86" w:rsidP="00381653">
      <w:pPr>
        <w:spacing w:after="160" w:line="252" w:lineRule="auto"/>
        <w:contextualSpacing/>
        <w:rPr>
          <w:rFonts w:eastAsia="Times New Roman"/>
          <w:sz w:val="24"/>
        </w:rPr>
      </w:pPr>
    </w:p>
    <w:p w14:paraId="6CEFB3D2" w14:textId="3706BA5E" w:rsidR="000E792D" w:rsidRPr="00D95945" w:rsidRDefault="00234504" w:rsidP="00D95945">
      <w:pPr>
        <w:spacing w:after="160" w:line="252" w:lineRule="auto"/>
        <w:contextualSpacing/>
        <w:rPr>
          <w:rFonts w:eastAsia="Times New Roman"/>
          <w:i/>
          <w:sz w:val="24"/>
        </w:rPr>
      </w:pPr>
      <w:r>
        <w:rPr>
          <w:rFonts w:eastAsia="Times New Roman"/>
          <w:i/>
          <w:sz w:val="24"/>
        </w:rPr>
        <w:t>“</w:t>
      </w:r>
      <w:r w:rsidR="008F02AB" w:rsidRPr="006C5CCD">
        <w:rPr>
          <w:rFonts w:eastAsia="Times New Roman"/>
          <w:i/>
          <w:sz w:val="24"/>
        </w:rPr>
        <w:t xml:space="preserve">Technical standards should not be used as a mechanism to deny the admission of persons with disabilities into programs. Instead, technical standards should be a way to conceptualize the recruitment of diverse highly qualified students.” (Ailey &amp; Marks, 2016). </w:t>
      </w:r>
    </w:p>
    <w:p w14:paraId="1DA43255" w14:textId="3F2BA3CC" w:rsidR="005807B9" w:rsidRDefault="005807B9" w:rsidP="000E792D">
      <w:pPr>
        <w:spacing w:after="160" w:line="252" w:lineRule="auto"/>
        <w:contextualSpacing/>
        <w:rPr>
          <w:rFonts w:eastAsia="Times New Roman"/>
          <w:sz w:val="24"/>
        </w:rPr>
      </w:pPr>
    </w:p>
    <w:p w14:paraId="08379670" w14:textId="3712A811" w:rsidR="005807B9" w:rsidRDefault="005807B9" w:rsidP="000E792D">
      <w:pPr>
        <w:spacing w:after="160" w:line="252" w:lineRule="auto"/>
        <w:contextualSpacing/>
        <w:rPr>
          <w:rFonts w:eastAsia="Times New Roman"/>
          <w:sz w:val="24"/>
        </w:rPr>
      </w:pPr>
      <w:r>
        <w:rPr>
          <w:rFonts w:eastAsia="Times New Roman"/>
          <w:sz w:val="24"/>
        </w:rPr>
        <w:t>If technical standards are written in a way that may be perceived as discriminatory against students belonging to communities protected by federal law, students may choose to file a complaint with the Office for Civil Rights (</w:t>
      </w:r>
      <w:r w:rsidR="00B92415">
        <w:rPr>
          <w:rFonts w:eastAsia="Times New Roman"/>
          <w:sz w:val="24"/>
        </w:rPr>
        <w:t>OCR) (</w:t>
      </w:r>
      <w:proofErr w:type="spellStart"/>
      <w:r w:rsidR="00972355">
        <w:rPr>
          <w:rFonts w:eastAsia="Times New Roman"/>
          <w:sz w:val="24"/>
        </w:rPr>
        <w:t>Bagenstos</w:t>
      </w:r>
      <w:proofErr w:type="spellEnd"/>
      <w:r w:rsidR="00972355">
        <w:rPr>
          <w:rFonts w:eastAsia="Times New Roman"/>
          <w:sz w:val="24"/>
        </w:rPr>
        <w:t xml:space="preserve">, 2016; </w:t>
      </w:r>
      <w:r w:rsidR="00B92415">
        <w:rPr>
          <w:rFonts w:eastAsia="Times New Roman"/>
          <w:sz w:val="24"/>
        </w:rPr>
        <w:t xml:space="preserve">Lipton, 2017). </w:t>
      </w:r>
      <w:r>
        <w:rPr>
          <w:rFonts w:eastAsia="Times New Roman"/>
          <w:sz w:val="24"/>
        </w:rPr>
        <w:t xml:space="preserve"> </w:t>
      </w:r>
    </w:p>
    <w:p w14:paraId="2F8F92EE" w14:textId="77777777" w:rsidR="005E17B4" w:rsidRDefault="005E17B4" w:rsidP="000E792D">
      <w:pPr>
        <w:spacing w:after="160" w:line="252" w:lineRule="auto"/>
        <w:contextualSpacing/>
        <w:rPr>
          <w:rFonts w:eastAsia="Times New Roman"/>
          <w:sz w:val="24"/>
        </w:rPr>
      </w:pPr>
    </w:p>
    <w:p w14:paraId="14F1C97C" w14:textId="029C964D" w:rsidR="008F7367" w:rsidRDefault="008F7367" w:rsidP="008F7367">
      <w:pPr>
        <w:spacing w:after="160" w:line="252" w:lineRule="auto"/>
        <w:contextualSpacing/>
        <w:rPr>
          <w:rFonts w:eastAsia="Times New Roman"/>
          <w:i/>
          <w:sz w:val="24"/>
        </w:rPr>
      </w:pPr>
      <w:proofErr w:type="spellStart"/>
      <w:r>
        <w:rPr>
          <w:rFonts w:eastAsia="Times New Roman"/>
          <w:sz w:val="24"/>
        </w:rPr>
        <w:t>Bagenstons</w:t>
      </w:r>
      <w:proofErr w:type="spellEnd"/>
      <w:r>
        <w:rPr>
          <w:rFonts w:eastAsia="Times New Roman"/>
          <w:sz w:val="24"/>
        </w:rPr>
        <w:t xml:space="preserve"> (2016) details one such case in which </w:t>
      </w:r>
      <w:r w:rsidRPr="008F7367">
        <w:rPr>
          <w:rFonts w:eastAsia="Times New Roman"/>
          <w:i/>
          <w:sz w:val="24"/>
        </w:rPr>
        <w:t>“Palmer College had rejected a blind applicant because he could not meet its technical standard for ‘sufficient use of vision’ to perform ‘the review of radiographs’. The (Iowa Supreme) court held that the school was required to modify that technical standard, relaying on evidence that many chiropractors are not called upon to visually interpret radiographic images in their practices and that other medical schools had successfully accommodated blind students</w:t>
      </w:r>
      <w:r w:rsidR="00F07867">
        <w:rPr>
          <w:rFonts w:eastAsia="Times New Roman"/>
          <w:i/>
          <w:sz w:val="24"/>
        </w:rPr>
        <w:t xml:space="preserve"> (p.3)</w:t>
      </w:r>
      <w:r w:rsidRPr="008F7367">
        <w:rPr>
          <w:rFonts w:eastAsia="Times New Roman"/>
          <w:i/>
          <w:sz w:val="24"/>
        </w:rPr>
        <w:t>”</w:t>
      </w:r>
      <w:r w:rsidR="00F07867">
        <w:rPr>
          <w:rFonts w:eastAsia="Times New Roman"/>
          <w:i/>
          <w:sz w:val="24"/>
        </w:rPr>
        <w:t xml:space="preserve">. </w:t>
      </w:r>
    </w:p>
    <w:p w14:paraId="4C3EBB60" w14:textId="77777777" w:rsidR="00640B81" w:rsidRDefault="00640B81" w:rsidP="008F7367">
      <w:pPr>
        <w:spacing w:after="160" w:line="252" w:lineRule="auto"/>
        <w:contextualSpacing/>
        <w:rPr>
          <w:rFonts w:eastAsia="Times New Roman"/>
          <w:i/>
          <w:sz w:val="24"/>
        </w:rPr>
      </w:pPr>
    </w:p>
    <w:tbl>
      <w:tblPr>
        <w:tblStyle w:val="TableGrid"/>
        <w:tblW w:w="0" w:type="auto"/>
        <w:tblLook w:val="04A0" w:firstRow="1" w:lastRow="0" w:firstColumn="1" w:lastColumn="0" w:noHBand="0" w:noVBand="1"/>
      </w:tblPr>
      <w:tblGrid>
        <w:gridCol w:w="4675"/>
        <w:gridCol w:w="4675"/>
      </w:tblGrid>
      <w:tr w:rsidR="008D34EE" w14:paraId="4769BC1E" w14:textId="77777777" w:rsidTr="008D34EE">
        <w:tc>
          <w:tcPr>
            <w:tcW w:w="4675" w:type="dxa"/>
          </w:tcPr>
          <w:p w14:paraId="78CE1D65" w14:textId="40CC9491" w:rsidR="008D34EE" w:rsidRDefault="008D34EE" w:rsidP="008F7367">
            <w:pPr>
              <w:spacing w:after="160" w:line="252" w:lineRule="auto"/>
              <w:contextualSpacing/>
              <w:rPr>
                <w:rFonts w:eastAsia="Times New Roman"/>
                <w:i/>
                <w:sz w:val="24"/>
              </w:rPr>
            </w:pPr>
            <w:r>
              <w:rPr>
                <w:rFonts w:eastAsia="Times New Roman"/>
                <w:i/>
                <w:sz w:val="24"/>
              </w:rPr>
              <w:t>Discriminatory technical standard:</w:t>
            </w:r>
          </w:p>
        </w:tc>
        <w:tc>
          <w:tcPr>
            <w:tcW w:w="4675" w:type="dxa"/>
          </w:tcPr>
          <w:p w14:paraId="164A9CB0" w14:textId="6D2808C6" w:rsidR="008D34EE" w:rsidRDefault="008D34EE" w:rsidP="008F7367">
            <w:pPr>
              <w:spacing w:after="160" w:line="252" w:lineRule="auto"/>
              <w:contextualSpacing/>
              <w:rPr>
                <w:rFonts w:eastAsia="Times New Roman"/>
                <w:i/>
                <w:sz w:val="24"/>
              </w:rPr>
            </w:pPr>
            <w:proofErr w:type="gramStart"/>
            <w:r>
              <w:rPr>
                <w:rFonts w:eastAsia="Times New Roman"/>
                <w:i/>
                <w:sz w:val="24"/>
              </w:rPr>
              <w:t>Sufficient</w:t>
            </w:r>
            <w:proofErr w:type="gramEnd"/>
            <w:r>
              <w:rPr>
                <w:rFonts w:eastAsia="Times New Roman"/>
                <w:i/>
                <w:sz w:val="24"/>
              </w:rPr>
              <w:t xml:space="preserve"> use of vision </w:t>
            </w:r>
            <w:r w:rsidR="00E1410C">
              <w:rPr>
                <w:rFonts w:eastAsia="Times New Roman"/>
                <w:i/>
                <w:sz w:val="24"/>
              </w:rPr>
              <w:t>to review radiographs</w:t>
            </w:r>
          </w:p>
        </w:tc>
      </w:tr>
      <w:tr w:rsidR="008D34EE" w14:paraId="0408FFC1" w14:textId="77777777" w:rsidTr="008D34EE">
        <w:tc>
          <w:tcPr>
            <w:tcW w:w="4675" w:type="dxa"/>
          </w:tcPr>
          <w:p w14:paraId="3E629CDF" w14:textId="18286C56" w:rsidR="008D34EE" w:rsidRDefault="00E1410C" w:rsidP="008F7367">
            <w:pPr>
              <w:spacing w:after="160" w:line="252" w:lineRule="auto"/>
              <w:contextualSpacing/>
              <w:rPr>
                <w:rFonts w:eastAsia="Times New Roman"/>
                <w:i/>
                <w:sz w:val="24"/>
              </w:rPr>
            </w:pPr>
            <w:r>
              <w:rPr>
                <w:rFonts w:eastAsia="Times New Roman"/>
                <w:i/>
                <w:sz w:val="24"/>
              </w:rPr>
              <w:t>Acceptable revision of</w:t>
            </w:r>
            <w:r w:rsidR="008D34EE">
              <w:rPr>
                <w:rFonts w:eastAsia="Times New Roman"/>
                <w:i/>
                <w:sz w:val="24"/>
              </w:rPr>
              <w:t xml:space="preserve"> technical standard:</w:t>
            </w:r>
          </w:p>
        </w:tc>
        <w:tc>
          <w:tcPr>
            <w:tcW w:w="4675" w:type="dxa"/>
          </w:tcPr>
          <w:p w14:paraId="6828E5E9" w14:textId="1B06C108" w:rsidR="008D34EE" w:rsidRDefault="00E1410C" w:rsidP="008F7367">
            <w:pPr>
              <w:spacing w:after="160" w:line="252" w:lineRule="auto"/>
              <w:contextualSpacing/>
              <w:rPr>
                <w:rFonts w:eastAsia="Times New Roman"/>
                <w:i/>
                <w:sz w:val="24"/>
              </w:rPr>
            </w:pPr>
            <w:r>
              <w:rPr>
                <w:rFonts w:eastAsia="Times New Roman"/>
                <w:i/>
                <w:sz w:val="24"/>
              </w:rPr>
              <w:t>Ability to review radiographs</w:t>
            </w:r>
          </w:p>
        </w:tc>
      </w:tr>
    </w:tbl>
    <w:p w14:paraId="1F9AE938" w14:textId="77777777" w:rsidR="008F7367" w:rsidRDefault="008F7367" w:rsidP="000E792D">
      <w:pPr>
        <w:spacing w:after="160" w:line="252" w:lineRule="auto"/>
        <w:contextualSpacing/>
        <w:rPr>
          <w:rFonts w:eastAsia="Times New Roman"/>
          <w:sz w:val="24"/>
        </w:rPr>
      </w:pPr>
    </w:p>
    <w:p w14:paraId="71D08723" w14:textId="4BFC9442" w:rsidR="00F712D3" w:rsidRDefault="008F7367" w:rsidP="000E792D">
      <w:pPr>
        <w:spacing w:after="160" w:line="252" w:lineRule="auto"/>
        <w:contextualSpacing/>
        <w:rPr>
          <w:rFonts w:eastAsia="Times New Roman"/>
          <w:sz w:val="24"/>
        </w:rPr>
      </w:pPr>
      <w:r>
        <w:rPr>
          <w:rFonts w:eastAsia="Times New Roman"/>
          <w:sz w:val="24"/>
        </w:rPr>
        <w:t xml:space="preserve">Additional </w:t>
      </w:r>
      <w:r w:rsidR="00972355">
        <w:rPr>
          <w:rFonts w:eastAsia="Times New Roman"/>
          <w:sz w:val="24"/>
        </w:rPr>
        <w:t>cases</w:t>
      </w:r>
      <w:r>
        <w:rPr>
          <w:rFonts w:eastAsia="Times New Roman"/>
          <w:sz w:val="24"/>
        </w:rPr>
        <w:t xml:space="preserve"> involving technical standards</w:t>
      </w:r>
      <w:r w:rsidR="00972355">
        <w:rPr>
          <w:rFonts w:eastAsia="Times New Roman"/>
          <w:sz w:val="24"/>
        </w:rPr>
        <w:t xml:space="preserve"> ruled both in favor of the student and the college are available in</w:t>
      </w:r>
      <w:r w:rsidR="0097456C">
        <w:rPr>
          <w:rFonts w:eastAsia="Times New Roman"/>
          <w:sz w:val="24"/>
        </w:rPr>
        <w:t xml:space="preserve"> the works of both </w:t>
      </w:r>
      <w:hyperlink r:id="rId8" w:history="1">
        <w:proofErr w:type="spellStart"/>
        <w:r w:rsidR="0097456C" w:rsidRPr="0097456C">
          <w:rPr>
            <w:rStyle w:val="Hyperlink"/>
            <w:rFonts w:eastAsia="Times New Roman"/>
            <w:sz w:val="24"/>
          </w:rPr>
          <w:t>Bagenstos</w:t>
        </w:r>
        <w:proofErr w:type="spellEnd"/>
        <w:r w:rsidR="0097456C" w:rsidRPr="0097456C">
          <w:rPr>
            <w:rStyle w:val="Hyperlink"/>
            <w:rFonts w:eastAsia="Times New Roman"/>
            <w:sz w:val="24"/>
          </w:rPr>
          <w:t xml:space="preserve"> (2016)</w:t>
        </w:r>
      </w:hyperlink>
      <w:r w:rsidR="0097456C">
        <w:rPr>
          <w:rFonts w:eastAsia="Times New Roman"/>
          <w:sz w:val="24"/>
        </w:rPr>
        <w:t xml:space="preserve"> and </w:t>
      </w:r>
      <w:hyperlink r:id="rId9" w:history="1">
        <w:r w:rsidR="0097456C" w:rsidRPr="0097456C">
          <w:rPr>
            <w:rStyle w:val="Hyperlink"/>
            <w:rFonts w:eastAsia="Times New Roman"/>
            <w:sz w:val="24"/>
          </w:rPr>
          <w:t>Lipton (2017)</w:t>
        </w:r>
      </w:hyperlink>
      <w:r w:rsidR="0097456C">
        <w:rPr>
          <w:rFonts w:eastAsia="Times New Roman"/>
          <w:sz w:val="24"/>
        </w:rPr>
        <w:t>.</w:t>
      </w:r>
    </w:p>
    <w:p w14:paraId="4998CE41" w14:textId="062D6B95" w:rsidR="000E792D" w:rsidRDefault="003419A1" w:rsidP="003419A1">
      <w:pPr>
        <w:spacing w:after="160" w:line="259" w:lineRule="auto"/>
        <w:rPr>
          <w:rFonts w:eastAsia="Times New Roman"/>
          <w:iCs/>
          <w:sz w:val="24"/>
        </w:rPr>
      </w:pPr>
      <w:r>
        <w:rPr>
          <w:rFonts w:eastAsia="Times New Roman"/>
          <w:iCs/>
          <w:sz w:val="24"/>
        </w:rPr>
        <w:br w:type="page"/>
      </w:r>
    </w:p>
    <w:p w14:paraId="7590E343" w14:textId="61C66300" w:rsidR="005C6195" w:rsidRDefault="002565D3" w:rsidP="005C6195">
      <w:pPr>
        <w:spacing w:after="160" w:line="252" w:lineRule="auto"/>
        <w:contextualSpacing/>
        <w:jc w:val="center"/>
        <w:rPr>
          <w:rFonts w:eastAsia="Times New Roman"/>
          <w:b/>
          <w:iCs/>
          <w:sz w:val="28"/>
        </w:rPr>
      </w:pPr>
      <w:r>
        <w:rPr>
          <w:rFonts w:eastAsia="Times New Roman"/>
          <w:b/>
          <w:iCs/>
          <w:sz w:val="28"/>
        </w:rPr>
        <w:lastRenderedPageBreak/>
        <w:t xml:space="preserve">Legal Issues </w:t>
      </w:r>
    </w:p>
    <w:p w14:paraId="7FFC92C2" w14:textId="19F734F7" w:rsidR="005C6195" w:rsidRDefault="005C6195" w:rsidP="005C6195">
      <w:pPr>
        <w:spacing w:after="160" w:line="252" w:lineRule="auto"/>
        <w:contextualSpacing/>
        <w:jc w:val="center"/>
        <w:rPr>
          <w:rFonts w:eastAsia="Times New Roman"/>
          <w:b/>
          <w:iCs/>
          <w:sz w:val="28"/>
        </w:rPr>
      </w:pPr>
    </w:p>
    <w:p w14:paraId="3BB7AB04" w14:textId="0830C01A" w:rsidR="008A3220" w:rsidRDefault="008A3220" w:rsidP="008A3220">
      <w:pPr>
        <w:spacing w:after="160" w:line="252" w:lineRule="auto"/>
        <w:contextualSpacing/>
        <w:rPr>
          <w:rFonts w:eastAsia="Times New Roman"/>
          <w:sz w:val="24"/>
        </w:rPr>
      </w:pPr>
      <w:r>
        <w:rPr>
          <w:rFonts w:eastAsia="Times New Roman"/>
          <w:sz w:val="24"/>
        </w:rPr>
        <w:t xml:space="preserve">Students must have access to an interactive process for determining accommodations and the ability to appeal decisions through a documented college </w:t>
      </w:r>
      <w:r w:rsidR="0006217B">
        <w:rPr>
          <w:rFonts w:eastAsia="Times New Roman"/>
          <w:sz w:val="24"/>
        </w:rPr>
        <w:t>process.</w:t>
      </w:r>
    </w:p>
    <w:p w14:paraId="1BA0C4B3" w14:textId="77777777" w:rsidR="008A3220" w:rsidRDefault="008A3220" w:rsidP="00ED697B">
      <w:pPr>
        <w:spacing w:after="160" w:line="252" w:lineRule="auto"/>
        <w:contextualSpacing/>
        <w:rPr>
          <w:rFonts w:eastAsia="Times New Roman"/>
          <w:b/>
          <w:iCs/>
          <w:sz w:val="28"/>
        </w:rPr>
      </w:pPr>
    </w:p>
    <w:p w14:paraId="0EDA739D" w14:textId="3C348CDC" w:rsidR="00503D87" w:rsidRPr="00503D87" w:rsidRDefault="002E1163" w:rsidP="002E1163">
      <w:pPr>
        <w:spacing w:after="160" w:line="252" w:lineRule="auto"/>
        <w:contextualSpacing/>
        <w:rPr>
          <w:rFonts w:eastAsia="Times New Roman"/>
          <w:b/>
          <w:sz w:val="24"/>
        </w:rPr>
      </w:pPr>
      <w:r w:rsidRPr="00503D87">
        <w:rPr>
          <w:rFonts w:eastAsia="Times New Roman"/>
          <w:b/>
          <w:sz w:val="24"/>
        </w:rPr>
        <w:t xml:space="preserve">Concerns or disagreement </w:t>
      </w:r>
    </w:p>
    <w:p w14:paraId="3256B2A7" w14:textId="439751BC" w:rsidR="008B309A" w:rsidRPr="00214093" w:rsidRDefault="00D95945" w:rsidP="00ED697B">
      <w:pPr>
        <w:spacing w:after="160" w:line="252" w:lineRule="auto"/>
        <w:contextualSpacing/>
        <w:rPr>
          <w:rFonts w:eastAsia="Times New Roman"/>
          <w:sz w:val="24"/>
        </w:rPr>
      </w:pPr>
      <w:r>
        <w:rPr>
          <w:rFonts w:eastAsia="Times New Roman"/>
          <w:sz w:val="24"/>
        </w:rPr>
        <w:t>Concerns or disagreements r</w:t>
      </w:r>
      <w:r w:rsidR="002E1163">
        <w:rPr>
          <w:rFonts w:eastAsia="Times New Roman"/>
          <w:sz w:val="24"/>
        </w:rPr>
        <w:t xml:space="preserve">egarding technical standards should result in convening the team that developed the standards to </w:t>
      </w:r>
      <w:r w:rsidR="00C22B98">
        <w:rPr>
          <w:rFonts w:eastAsia="Times New Roman"/>
          <w:sz w:val="24"/>
        </w:rPr>
        <w:t xml:space="preserve">review and </w:t>
      </w:r>
      <w:r w:rsidR="002E1163">
        <w:rPr>
          <w:rFonts w:eastAsia="Times New Roman"/>
          <w:sz w:val="24"/>
        </w:rPr>
        <w:t xml:space="preserve">provide rationale.  </w:t>
      </w:r>
      <w:r w:rsidR="008A3220">
        <w:t xml:space="preserve"> </w:t>
      </w:r>
    </w:p>
    <w:p w14:paraId="5F133A5A" w14:textId="6D92113E" w:rsidR="002E1163" w:rsidRDefault="002E1163" w:rsidP="002565D3">
      <w:pPr>
        <w:spacing w:after="160" w:line="252" w:lineRule="auto"/>
        <w:contextualSpacing/>
        <w:rPr>
          <w:rFonts w:eastAsia="Times New Roman"/>
          <w:sz w:val="24"/>
        </w:rPr>
      </w:pPr>
    </w:p>
    <w:p w14:paraId="17AC751B" w14:textId="7B4846D1" w:rsidR="00503D87" w:rsidRPr="00503D87" w:rsidRDefault="00503D87" w:rsidP="002565D3">
      <w:pPr>
        <w:spacing w:after="160" w:line="252" w:lineRule="auto"/>
        <w:contextualSpacing/>
        <w:rPr>
          <w:rFonts w:eastAsia="Times New Roman"/>
          <w:b/>
          <w:sz w:val="24"/>
        </w:rPr>
      </w:pPr>
      <w:r w:rsidRPr="00503D87">
        <w:rPr>
          <w:rFonts w:eastAsia="Times New Roman"/>
          <w:b/>
          <w:sz w:val="24"/>
        </w:rPr>
        <w:t xml:space="preserve">Complaint or Grievance </w:t>
      </w:r>
    </w:p>
    <w:p w14:paraId="620CD052" w14:textId="457971E5" w:rsidR="002E1163" w:rsidRDefault="002E1163" w:rsidP="002565D3">
      <w:pPr>
        <w:spacing w:after="160" w:line="252" w:lineRule="auto"/>
        <w:contextualSpacing/>
        <w:rPr>
          <w:rFonts w:eastAsia="Times New Roman"/>
          <w:sz w:val="24"/>
        </w:rPr>
      </w:pPr>
      <w:r>
        <w:rPr>
          <w:rFonts w:eastAsia="Times New Roman"/>
          <w:sz w:val="24"/>
        </w:rPr>
        <w:t xml:space="preserve">Employees made aware of potentially discriminatory practices or standards have a responsibility to report concerns in accordance with college processes. </w:t>
      </w:r>
    </w:p>
    <w:p w14:paraId="02C9D421" w14:textId="4ED29524" w:rsidR="002565D3" w:rsidRDefault="002565D3" w:rsidP="002565D3">
      <w:pPr>
        <w:spacing w:after="160" w:line="252" w:lineRule="auto"/>
        <w:contextualSpacing/>
        <w:rPr>
          <w:rFonts w:eastAsia="Times New Roman"/>
          <w:sz w:val="24"/>
        </w:rPr>
      </w:pPr>
    </w:p>
    <w:p w14:paraId="7FB05B1F" w14:textId="7A3FEA8C" w:rsidR="00503D87" w:rsidRPr="00503D87" w:rsidRDefault="00503D87" w:rsidP="002565D3">
      <w:pPr>
        <w:spacing w:after="160" w:line="252" w:lineRule="auto"/>
        <w:contextualSpacing/>
        <w:rPr>
          <w:rFonts w:eastAsia="Times New Roman"/>
          <w:b/>
          <w:sz w:val="24"/>
        </w:rPr>
      </w:pPr>
      <w:r w:rsidRPr="00503D87">
        <w:rPr>
          <w:rFonts w:eastAsia="Times New Roman"/>
          <w:b/>
          <w:sz w:val="24"/>
        </w:rPr>
        <w:t xml:space="preserve">OCR Complaint </w:t>
      </w:r>
    </w:p>
    <w:p w14:paraId="174B1FB1" w14:textId="728A36C0" w:rsidR="000E792D" w:rsidRPr="005C6195" w:rsidRDefault="005C6195" w:rsidP="002565D3">
      <w:pPr>
        <w:spacing w:after="160" w:line="252" w:lineRule="auto"/>
        <w:contextualSpacing/>
        <w:rPr>
          <w:rFonts w:eastAsia="Times New Roman"/>
          <w:b/>
          <w:iCs/>
          <w:sz w:val="28"/>
        </w:rPr>
      </w:pPr>
      <w:r>
        <w:rPr>
          <w:rFonts w:eastAsia="Times New Roman"/>
          <w:sz w:val="24"/>
        </w:rPr>
        <w:t>OCR complaints will be sent to college leadership</w:t>
      </w:r>
      <w:r w:rsidR="002565D3">
        <w:rPr>
          <w:rFonts w:eastAsia="Times New Roman"/>
          <w:sz w:val="24"/>
        </w:rPr>
        <w:t xml:space="preserve"> for resolution</w:t>
      </w:r>
      <w:r>
        <w:rPr>
          <w:rFonts w:eastAsia="Times New Roman"/>
          <w:sz w:val="24"/>
        </w:rPr>
        <w:t xml:space="preserve">. </w:t>
      </w:r>
      <w:r w:rsidR="00936818">
        <w:rPr>
          <w:rFonts w:eastAsia="Times New Roman"/>
          <w:sz w:val="24"/>
        </w:rPr>
        <w:t xml:space="preserve"> </w:t>
      </w:r>
      <w:r>
        <w:rPr>
          <w:rFonts w:eastAsia="Times New Roman"/>
          <w:sz w:val="24"/>
        </w:rPr>
        <w:t>Academic faculty and staff, d</w:t>
      </w:r>
      <w:r w:rsidR="00936818">
        <w:rPr>
          <w:rFonts w:eastAsia="Times New Roman"/>
          <w:sz w:val="24"/>
        </w:rPr>
        <w:t>isability services, and l</w:t>
      </w:r>
      <w:r w:rsidR="000E792D">
        <w:rPr>
          <w:rFonts w:eastAsia="Times New Roman"/>
          <w:sz w:val="24"/>
        </w:rPr>
        <w:t xml:space="preserve">egal </w:t>
      </w:r>
      <w:r w:rsidR="005B6D99">
        <w:rPr>
          <w:rFonts w:eastAsia="Times New Roman"/>
          <w:sz w:val="24"/>
        </w:rPr>
        <w:t>will</w:t>
      </w:r>
      <w:r w:rsidR="000E792D">
        <w:rPr>
          <w:rFonts w:eastAsia="Times New Roman"/>
          <w:sz w:val="24"/>
        </w:rPr>
        <w:t xml:space="preserve"> </w:t>
      </w:r>
      <w:r>
        <w:rPr>
          <w:rFonts w:eastAsia="Times New Roman"/>
          <w:sz w:val="24"/>
        </w:rPr>
        <w:t>be required to produce</w:t>
      </w:r>
      <w:r w:rsidR="00936818">
        <w:rPr>
          <w:rFonts w:eastAsia="Times New Roman"/>
          <w:sz w:val="24"/>
        </w:rPr>
        <w:t xml:space="preserve"> documentation supporting their</w:t>
      </w:r>
      <w:r>
        <w:rPr>
          <w:rFonts w:eastAsia="Times New Roman"/>
          <w:sz w:val="24"/>
        </w:rPr>
        <w:t xml:space="preserve"> interactive</w:t>
      </w:r>
      <w:r w:rsidR="00936818">
        <w:rPr>
          <w:rFonts w:eastAsia="Times New Roman"/>
          <w:sz w:val="24"/>
        </w:rPr>
        <w:t xml:space="preserve"> process for providing </w:t>
      </w:r>
      <w:r w:rsidR="00361ED6">
        <w:rPr>
          <w:rFonts w:eastAsia="Times New Roman"/>
          <w:sz w:val="24"/>
        </w:rPr>
        <w:t>or denying reasonable accommodations</w:t>
      </w:r>
      <w:r w:rsidR="0067381E">
        <w:rPr>
          <w:rFonts w:eastAsia="Times New Roman"/>
          <w:sz w:val="24"/>
        </w:rPr>
        <w:t xml:space="preserve"> (U.S. Department of Education, 2018</w:t>
      </w:r>
      <w:r w:rsidR="005B6D99">
        <w:t>)</w:t>
      </w:r>
      <w:r w:rsidR="0006217B">
        <w:t xml:space="preserve">. </w:t>
      </w:r>
      <w:r w:rsidR="0006217B" w:rsidRPr="00ED697B">
        <w:rPr>
          <w:sz w:val="24"/>
        </w:rPr>
        <w:t xml:space="preserve">As noted in case law, </w:t>
      </w:r>
      <w:r w:rsidR="0006217B">
        <w:rPr>
          <w:rFonts w:eastAsia="Times New Roman"/>
          <w:sz w:val="24"/>
        </w:rPr>
        <w:t>i</w:t>
      </w:r>
      <w:r w:rsidR="0067381E">
        <w:rPr>
          <w:rFonts w:eastAsia="Times New Roman"/>
          <w:sz w:val="24"/>
        </w:rPr>
        <w:t xml:space="preserve">t is necessary </w:t>
      </w:r>
      <w:r w:rsidR="0006217B">
        <w:rPr>
          <w:rFonts w:eastAsia="Times New Roman"/>
          <w:sz w:val="24"/>
        </w:rPr>
        <w:t>for colleges to</w:t>
      </w:r>
      <w:r w:rsidR="0067381E">
        <w:rPr>
          <w:rFonts w:eastAsia="Times New Roman"/>
          <w:sz w:val="24"/>
        </w:rPr>
        <w:t xml:space="preserve"> </w:t>
      </w:r>
      <w:r w:rsidR="0067381E" w:rsidRPr="00ED697B">
        <w:rPr>
          <w:rFonts w:eastAsia="Times New Roman"/>
          <w:sz w:val="24"/>
        </w:rPr>
        <w:t>demonstrate</w:t>
      </w:r>
      <w:r w:rsidR="00503D87" w:rsidRPr="00ED697B">
        <w:rPr>
          <w:rFonts w:eastAsia="Times New Roman"/>
          <w:sz w:val="24"/>
        </w:rPr>
        <w:t xml:space="preserve"> </w:t>
      </w:r>
      <w:r w:rsidR="0006217B">
        <w:rPr>
          <w:rFonts w:eastAsia="Times New Roman"/>
          <w:sz w:val="24"/>
        </w:rPr>
        <w:t>how they have followed a</w:t>
      </w:r>
      <w:r w:rsidR="0067381E" w:rsidRPr="00ED697B">
        <w:rPr>
          <w:rFonts w:eastAsia="Times New Roman"/>
          <w:sz w:val="24"/>
        </w:rPr>
        <w:t xml:space="preserve"> </w:t>
      </w:r>
      <w:r w:rsidR="00503D87" w:rsidRPr="00ED697B">
        <w:rPr>
          <w:rFonts w:eastAsia="Times New Roman"/>
          <w:sz w:val="24"/>
        </w:rPr>
        <w:t>clear college process when responding to OCR complaints</w:t>
      </w:r>
      <w:r w:rsidR="0006217B">
        <w:rPr>
          <w:rFonts w:eastAsia="Times New Roman"/>
          <w:sz w:val="24"/>
        </w:rPr>
        <w:t xml:space="preserve"> (</w:t>
      </w:r>
      <w:proofErr w:type="spellStart"/>
      <w:r w:rsidR="0006217B">
        <w:rPr>
          <w:rFonts w:eastAsia="Times New Roman"/>
          <w:sz w:val="24"/>
        </w:rPr>
        <w:t>Colker</w:t>
      </w:r>
      <w:proofErr w:type="spellEnd"/>
      <w:r w:rsidR="0006217B">
        <w:rPr>
          <w:rFonts w:eastAsia="Times New Roman"/>
          <w:sz w:val="24"/>
        </w:rPr>
        <w:t xml:space="preserve"> &amp; Grossman, 2014:</w:t>
      </w:r>
      <w:r w:rsidR="0006217B" w:rsidRPr="0006217B">
        <w:rPr>
          <w:rFonts w:eastAsia="Times New Roman"/>
          <w:sz w:val="24"/>
        </w:rPr>
        <w:t xml:space="preserve"> </w:t>
      </w:r>
      <w:r w:rsidR="0006217B">
        <w:rPr>
          <w:rFonts w:eastAsia="Times New Roman"/>
          <w:sz w:val="24"/>
        </w:rPr>
        <w:t>Lipton, 2017)</w:t>
      </w:r>
      <w:r w:rsidR="00503D87" w:rsidRPr="00ED697B">
        <w:rPr>
          <w:rFonts w:eastAsia="Times New Roman"/>
          <w:sz w:val="24"/>
        </w:rPr>
        <w:t xml:space="preserve"> </w:t>
      </w:r>
    </w:p>
    <w:p w14:paraId="415B3A6D" w14:textId="63DD342C" w:rsidR="00503D87" w:rsidRDefault="00503D87" w:rsidP="00503D87">
      <w:pPr>
        <w:spacing w:after="160" w:line="252" w:lineRule="auto"/>
        <w:contextualSpacing/>
        <w:rPr>
          <w:rFonts w:eastAsia="Times New Roman"/>
          <w:sz w:val="24"/>
        </w:rPr>
      </w:pPr>
    </w:p>
    <w:p w14:paraId="382779B7" w14:textId="1CD5843C" w:rsidR="00503D87" w:rsidRPr="00503D87" w:rsidRDefault="00901198" w:rsidP="00503D87">
      <w:pPr>
        <w:spacing w:after="160" w:line="252" w:lineRule="auto"/>
        <w:contextualSpacing/>
        <w:rPr>
          <w:rFonts w:eastAsia="Times New Roman"/>
          <w:b/>
          <w:sz w:val="24"/>
        </w:rPr>
      </w:pPr>
      <w:r>
        <w:rPr>
          <w:rFonts w:eastAsia="Times New Roman"/>
          <w:b/>
          <w:sz w:val="24"/>
        </w:rPr>
        <w:t>Off-site Educational Experiences (c</w:t>
      </w:r>
      <w:r w:rsidR="00503D87" w:rsidRPr="00503D87">
        <w:rPr>
          <w:rFonts w:eastAsia="Times New Roman"/>
          <w:b/>
          <w:sz w:val="24"/>
        </w:rPr>
        <w:t>linical</w:t>
      </w:r>
      <w:r>
        <w:rPr>
          <w:rFonts w:eastAsia="Times New Roman"/>
          <w:b/>
          <w:sz w:val="24"/>
        </w:rPr>
        <w:t>, practicum, externship sites, etc.)</w:t>
      </w:r>
    </w:p>
    <w:p w14:paraId="612FB9D8" w14:textId="1E632E17" w:rsidR="0006217B" w:rsidRDefault="002565D3" w:rsidP="00492353">
      <w:pPr>
        <w:spacing w:after="160" w:line="252" w:lineRule="auto"/>
        <w:rPr>
          <w:rFonts w:eastAsia="Times New Roman"/>
          <w:sz w:val="24"/>
        </w:rPr>
      </w:pPr>
      <w:r>
        <w:rPr>
          <w:rFonts w:eastAsia="Times New Roman"/>
          <w:sz w:val="24"/>
        </w:rPr>
        <w:t>It is the responsibility of the college to provide each student with a</w:t>
      </w:r>
      <w:r w:rsidR="00901198">
        <w:rPr>
          <w:rFonts w:eastAsia="Times New Roman"/>
          <w:sz w:val="24"/>
        </w:rPr>
        <w:t>n</w:t>
      </w:r>
      <w:r>
        <w:rPr>
          <w:rFonts w:eastAsia="Times New Roman"/>
          <w:sz w:val="24"/>
        </w:rPr>
        <w:t xml:space="preserve"> </w:t>
      </w:r>
      <w:r w:rsidR="00901198">
        <w:rPr>
          <w:rFonts w:eastAsia="Times New Roman"/>
          <w:sz w:val="24"/>
        </w:rPr>
        <w:t>off-campus</w:t>
      </w:r>
      <w:r>
        <w:rPr>
          <w:rFonts w:eastAsia="Times New Roman"/>
          <w:sz w:val="24"/>
        </w:rPr>
        <w:t xml:space="preserve"> site that do</w:t>
      </w:r>
      <w:r w:rsidR="00901198">
        <w:rPr>
          <w:rFonts w:eastAsia="Times New Roman"/>
          <w:sz w:val="24"/>
        </w:rPr>
        <w:t>es</w:t>
      </w:r>
      <w:r>
        <w:rPr>
          <w:rFonts w:eastAsia="Times New Roman"/>
          <w:sz w:val="24"/>
        </w:rPr>
        <w:t xml:space="preserve"> not discriminate against students based </w:t>
      </w:r>
      <w:proofErr w:type="gramStart"/>
      <w:r>
        <w:rPr>
          <w:rFonts w:eastAsia="Times New Roman"/>
          <w:sz w:val="24"/>
        </w:rPr>
        <w:t>on</w:t>
      </w:r>
      <w:r w:rsidR="00640B81">
        <w:rPr>
          <w:rFonts w:eastAsia="Times New Roman"/>
          <w:sz w:val="24"/>
        </w:rPr>
        <w:t xml:space="preserve"> the basis of</w:t>
      </w:r>
      <w:proofErr w:type="gramEnd"/>
      <w:r w:rsidR="00640B81">
        <w:rPr>
          <w:rFonts w:eastAsia="Times New Roman"/>
          <w:sz w:val="24"/>
        </w:rPr>
        <w:t xml:space="preserve"> protected clas</w:t>
      </w:r>
      <w:r w:rsidR="0006217B">
        <w:rPr>
          <w:rFonts w:eastAsia="Times New Roman"/>
          <w:sz w:val="24"/>
        </w:rPr>
        <w:t xml:space="preserve">s. </w:t>
      </w:r>
    </w:p>
    <w:p w14:paraId="569AC3D3" w14:textId="5B5B5A6E" w:rsidR="00FF1A68" w:rsidRPr="00ED697B" w:rsidRDefault="00FF1A68" w:rsidP="00ED697B">
      <w:pPr>
        <w:spacing w:after="160" w:line="252" w:lineRule="auto"/>
      </w:pPr>
      <w:r>
        <w:rPr>
          <w:rFonts w:eastAsia="Times New Roman"/>
          <w:sz w:val="24"/>
        </w:rPr>
        <w:t xml:space="preserve">Specifically, the law indicates that, </w:t>
      </w:r>
    </w:p>
    <w:p w14:paraId="4503E3F0" w14:textId="374E68ED" w:rsidR="0006217B" w:rsidRPr="00ED697B" w:rsidRDefault="0006217B" w:rsidP="0006217B">
      <w:pPr>
        <w:numPr>
          <w:ilvl w:val="0"/>
          <w:numId w:val="2"/>
        </w:numPr>
        <w:spacing w:after="160" w:line="252" w:lineRule="auto"/>
        <w:rPr>
          <w:i/>
          <w:sz w:val="24"/>
        </w:rPr>
      </w:pPr>
      <w:r w:rsidRPr="00ED697B">
        <w:rPr>
          <w:rFonts w:eastAsia="Times New Roman"/>
          <w:i/>
          <w:sz w:val="24"/>
        </w:rPr>
        <w:t xml:space="preserve">A public entity, in providing any aid, benefit, or service, may not, directly or </w:t>
      </w:r>
      <w:r w:rsidRPr="00ED697B">
        <w:rPr>
          <w:rFonts w:eastAsia="Times New Roman"/>
          <w:b/>
          <w:bCs/>
          <w:i/>
          <w:sz w:val="24"/>
        </w:rPr>
        <w:t>through contractual</w:t>
      </w:r>
      <w:r w:rsidRPr="00ED697B">
        <w:rPr>
          <w:rFonts w:eastAsia="Times New Roman"/>
          <w:i/>
          <w:sz w:val="24"/>
        </w:rPr>
        <w:t xml:space="preserve">, licensing, or other arrangements, on the basis of disability—(i) Deny a qualified individual with a disability the opportunity to participate in or benefit from the aid, benefit, or service </w:t>
      </w:r>
      <w:r w:rsidR="00FF1A68" w:rsidRPr="00ED697B">
        <w:rPr>
          <w:rFonts w:eastAsia="Times New Roman"/>
          <w:i/>
          <w:sz w:val="24"/>
        </w:rPr>
        <w:t>(</w:t>
      </w:r>
      <w:r w:rsidRPr="00ED697B">
        <w:rPr>
          <w:rFonts w:eastAsia="Times New Roman"/>
          <w:i/>
          <w:sz w:val="24"/>
        </w:rPr>
        <w:t>28 CFR 35.130(b)</w:t>
      </w:r>
      <w:r w:rsidR="00FF1A68" w:rsidRPr="00ED697B">
        <w:rPr>
          <w:rFonts w:eastAsia="Times New Roman"/>
          <w:i/>
          <w:sz w:val="24"/>
        </w:rPr>
        <w:t>).</w:t>
      </w:r>
    </w:p>
    <w:p w14:paraId="414C3991" w14:textId="45785197" w:rsidR="0006217B" w:rsidRPr="00ED697B" w:rsidRDefault="0006217B" w:rsidP="0006217B">
      <w:pPr>
        <w:numPr>
          <w:ilvl w:val="0"/>
          <w:numId w:val="2"/>
        </w:numPr>
        <w:spacing w:after="160" w:line="252" w:lineRule="auto"/>
        <w:contextualSpacing/>
        <w:rPr>
          <w:rFonts w:eastAsia="Times New Roman"/>
          <w:i/>
          <w:sz w:val="24"/>
        </w:rPr>
      </w:pPr>
      <w:r w:rsidRPr="00ED697B">
        <w:rPr>
          <w:rFonts w:eastAsia="Times New Roman"/>
          <w:i/>
          <w:sz w:val="24"/>
        </w:rPr>
        <w:t xml:space="preserve">A recipient to which this subpart applies </w:t>
      </w:r>
      <w:r w:rsidRPr="00ED697B">
        <w:rPr>
          <w:rFonts w:eastAsia="Times New Roman"/>
          <w:b/>
          <w:bCs/>
          <w:i/>
          <w:sz w:val="24"/>
        </w:rPr>
        <w:t>that considers participation by students in education programs or activities not operated wholly by the recipient as part of, or equivalent to, and education program or activity operated by the recipient shall assure itself that the other education program or activity, as a whole, provides an equal opportunity for the participation of qualified handicapped persons</w:t>
      </w:r>
      <w:r w:rsidR="00FF1A68" w:rsidRPr="00ED697B">
        <w:rPr>
          <w:rFonts w:eastAsia="Times New Roman"/>
          <w:bCs/>
          <w:i/>
          <w:sz w:val="24"/>
        </w:rPr>
        <w:t xml:space="preserve"> (</w:t>
      </w:r>
      <w:r w:rsidRPr="00ED697B">
        <w:rPr>
          <w:rFonts w:eastAsia="Times New Roman"/>
          <w:i/>
          <w:sz w:val="24"/>
        </w:rPr>
        <w:t>34 CFR 104.43</w:t>
      </w:r>
      <w:r w:rsidR="00FF1A68" w:rsidRPr="00ED697B">
        <w:rPr>
          <w:rFonts w:eastAsia="Times New Roman"/>
          <w:i/>
          <w:sz w:val="24"/>
        </w:rPr>
        <w:t xml:space="preserve">). </w:t>
      </w:r>
    </w:p>
    <w:p w14:paraId="0D8D2772" w14:textId="3B63484E" w:rsidR="00936818" w:rsidRPr="00936818" w:rsidRDefault="00936818" w:rsidP="002565D3">
      <w:pPr>
        <w:spacing w:after="160" w:line="252" w:lineRule="auto"/>
        <w:contextualSpacing/>
        <w:rPr>
          <w:rFonts w:eastAsia="Times New Roman"/>
          <w:sz w:val="24"/>
        </w:rPr>
      </w:pPr>
    </w:p>
    <w:p w14:paraId="10059A6F" w14:textId="33D07604" w:rsidR="000E792D" w:rsidRDefault="000E792D" w:rsidP="00A2040F">
      <w:pPr>
        <w:spacing w:after="160" w:line="252" w:lineRule="auto"/>
        <w:contextualSpacing/>
        <w:rPr>
          <w:rFonts w:eastAsia="Times New Roman"/>
          <w:b/>
          <w:sz w:val="28"/>
        </w:rPr>
      </w:pPr>
    </w:p>
    <w:p w14:paraId="5F4C44ED" w14:textId="0BFD3143" w:rsidR="00A2040F" w:rsidRDefault="00A2040F" w:rsidP="00A2040F">
      <w:pPr>
        <w:spacing w:after="160" w:line="252" w:lineRule="auto"/>
        <w:contextualSpacing/>
        <w:rPr>
          <w:rFonts w:eastAsia="Times New Roman"/>
          <w:b/>
          <w:sz w:val="28"/>
        </w:rPr>
      </w:pPr>
    </w:p>
    <w:p w14:paraId="0B577FCE" w14:textId="36CEB89C" w:rsidR="00A2040F" w:rsidRDefault="00A2040F" w:rsidP="00A2040F">
      <w:pPr>
        <w:spacing w:after="160" w:line="252" w:lineRule="auto"/>
        <w:contextualSpacing/>
        <w:rPr>
          <w:rFonts w:eastAsia="Times New Roman"/>
          <w:b/>
          <w:sz w:val="28"/>
        </w:rPr>
      </w:pPr>
    </w:p>
    <w:p w14:paraId="338D0A0C" w14:textId="77777777" w:rsidR="00A2040F" w:rsidRDefault="00A2040F" w:rsidP="00A2040F">
      <w:pPr>
        <w:spacing w:after="160" w:line="252" w:lineRule="auto"/>
        <w:contextualSpacing/>
        <w:rPr>
          <w:rFonts w:eastAsia="Times New Roman"/>
          <w:b/>
          <w:sz w:val="28"/>
        </w:rPr>
      </w:pPr>
    </w:p>
    <w:p w14:paraId="6D53336B" w14:textId="376A9C94" w:rsidR="00657C6C" w:rsidRDefault="00657C6C" w:rsidP="00657C6C">
      <w:pPr>
        <w:spacing w:after="160" w:line="252" w:lineRule="auto"/>
        <w:contextualSpacing/>
        <w:jc w:val="center"/>
        <w:rPr>
          <w:rFonts w:eastAsia="Times New Roman"/>
          <w:b/>
          <w:sz w:val="28"/>
        </w:rPr>
      </w:pPr>
      <w:r w:rsidRPr="00C13FB7">
        <w:rPr>
          <w:rFonts w:eastAsia="Times New Roman"/>
          <w:b/>
          <w:sz w:val="28"/>
        </w:rPr>
        <w:lastRenderedPageBreak/>
        <w:t>Writing Technical Standards</w:t>
      </w:r>
    </w:p>
    <w:p w14:paraId="23F4E054" w14:textId="77777777" w:rsidR="00C13FB7" w:rsidRPr="00C13FB7" w:rsidRDefault="00C13FB7" w:rsidP="00657C6C">
      <w:pPr>
        <w:spacing w:after="160" w:line="252" w:lineRule="auto"/>
        <w:contextualSpacing/>
        <w:jc w:val="center"/>
        <w:rPr>
          <w:rFonts w:eastAsia="Times New Roman"/>
          <w:b/>
          <w:sz w:val="28"/>
        </w:rPr>
      </w:pPr>
    </w:p>
    <w:p w14:paraId="0EF3EF1C" w14:textId="6C6668F2" w:rsidR="00234504" w:rsidRDefault="00234504" w:rsidP="00381653">
      <w:pPr>
        <w:spacing w:after="160" w:line="252" w:lineRule="auto"/>
        <w:contextualSpacing/>
        <w:rPr>
          <w:rFonts w:eastAsia="Times New Roman"/>
          <w:sz w:val="24"/>
        </w:rPr>
      </w:pPr>
      <w:r w:rsidRPr="00234504">
        <w:rPr>
          <w:rFonts w:eastAsia="Times New Roman"/>
          <w:b/>
          <w:sz w:val="24"/>
        </w:rPr>
        <w:t>Who:</w:t>
      </w:r>
      <w:r>
        <w:rPr>
          <w:rFonts w:eastAsia="Times New Roman"/>
          <w:sz w:val="24"/>
        </w:rPr>
        <w:t xml:space="preserve"> </w:t>
      </w:r>
      <w:r w:rsidR="00D516F9">
        <w:rPr>
          <w:rFonts w:eastAsia="Times New Roman"/>
          <w:sz w:val="24"/>
        </w:rPr>
        <w:t>Technical standards are</w:t>
      </w:r>
      <w:r>
        <w:rPr>
          <w:rFonts w:eastAsia="Times New Roman"/>
          <w:sz w:val="24"/>
        </w:rPr>
        <w:t xml:space="preserve"> closely linked to essential program </w:t>
      </w:r>
      <w:proofErr w:type="gramStart"/>
      <w:r>
        <w:rPr>
          <w:rFonts w:eastAsia="Times New Roman"/>
          <w:sz w:val="24"/>
        </w:rPr>
        <w:t>criteria</w:t>
      </w:r>
      <w:r w:rsidR="00D516F9">
        <w:rPr>
          <w:rFonts w:eastAsia="Times New Roman"/>
          <w:sz w:val="24"/>
        </w:rPr>
        <w:t>.</w:t>
      </w:r>
      <w:proofErr w:type="gramEnd"/>
      <w:r w:rsidR="00D516F9">
        <w:rPr>
          <w:rFonts w:eastAsia="Times New Roman"/>
          <w:sz w:val="24"/>
        </w:rPr>
        <w:t xml:space="preserve"> S</w:t>
      </w:r>
      <w:r>
        <w:rPr>
          <w:rFonts w:eastAsia="Times New Roman"/>
          <w:sz w:val="24"/>
        </w:rPr>
        <w:t xml:space="preserve">ubject matter experts such as faculty and deans are essential in creating effective technical standards. </w:t>
      </w:r>
      <w:r w:rsidR="0060401B">
        <w:rPr>
          <w:rFonts w:eastAsia="Times New Roman"/>
          <w:sz w:val="24"/>
        </w:rPr>
        <w:t>Best practice suggests using a team approach that includes faculty, administration, disability services, and student</w:t>
      </w:r>
      <w:r w:rsidR="008B309A">
        <w:rPr>
          <w:rFonts w:eastAsia="Times New Roman"/>
          <w:sz w:val="24"/>
        </w:rPr>
        <w:t>s in the development of standards</w:t>
      </w:r>
      <w:r w:rsidR="0060401B">
        <w:rPr>
          <w:rFonts w:eastAsia="Times New Roman"/>
          <w:sz w:val="24"/>
        </w:rPr>
        <w:t xml:space="preserve">. </w:t>
      </w:r>
      <w:r w:rsidR="00D516F9">
        <w:rPr>
          <w:rFonts w:eastAsia="Times New Roman"/>
          <w:sz w:val="24"/>
        </w:rPr>
        <w:t xml:space="preserve">Colleges should also involve </w:t>
      </w:r>
      <w:r>
        <w:rPr>
          <w:rFonts w:eastAsia="Times New Roman"/>
          <w:sz w:val="24"/>
        </w:rPr>
        <w:t>college legal representation</w:t>
      </w:r>
      <w:r w:rsidR="00D516F9">
        <w:rPr>
          <w:rFonts w:eastAsia="Times New Roman"/>
          <w:sz w:val="24"/>
        </w:rPr>
        <w:t xml:space="preserve"> </w:t>
      </w:r>
      <w:r>
        <w:rPr>
          <w:rFonts w:eastAsia="Times New Roman"/>
          <w:sz w:val="24"/>
        </w:rPr>
        <w:t>and program advisory boards</w:t>
      </w:r>
      <w:r w:rsidR="00D516F9">
        <w:rPr>
          <w:rFonts w:eastAsia="Times New Roman"/>
          <w:sz w:val="24"/>
        </w:rPr>
        <w:t xml:space="preserve"> when reviewing program technical standards. </w:t>
      </w:r>
    </w:p>
    <w:p w14:paraId="17C20FAB" w14:textId="77777777" w:rsidR="00234504" w:rsidRDefault="00234504" w:rsidP="00381653">
      <w:pPr>
        <w:spacing w:after="160" w:line="252" w:lineRule="auto"/>
        <w:contextualSpacing/>
        <w:rPr>
          <w:rFonts w:eastAsia="Times New Roman"/>
          <w:sz w:val="24"/>
        </w:rPr>
      </w:pPr>
    </w:p>
    <w:p w14:paraId="7AB12994" w14:textId="48E498C8" w:rsidR="00657C6C" w:rsidRPr="00657C6C" w:rsidRDefault="00234504" w:rsidP="00381653">
      <w:pPr>
        <w:spacing w:after="160" w:line="252" w:lineRule="auto"/>
        <w:contextualSpacing/>
        <w:rPr>
          <w:rFonts w:eastAsia="Times New Roman"/>
          <w:sz w:val="24"/>
        </w:rPr>
      </w:pPr>
      <w:r w:rsidRPr="00234504">
        <w:rPr>
          <w:rFonts w:eastAsia="Times New Roman"/>
          <w:b/>
          <w:sz w:val="24"/>
        </w:rPr>
        <w:t>What:</w:t>
      </w:r>
      <w:r>
        <w:rPr>
          <w:rFonts w:eastAsia="Times New Roman"/>
          <w:sz w:val="24"/>
        </w:rPr>
        <w:t xml:space="preserve"> </w:t>
      </w:r>
      <w:r w:rsidR="005D6D86" w:rsidRPr="00657C6C">
        <w:rPr>
          <w:rFonts w:eastAsia="Times New Roman"/>
          <w:sz w:val="24"/>
        </w:rPr>
        <w:t>Technical standards should</w:t>
      </w:r>
      <w:r w:rsidR="00657C6C" w:rsidRPr="00657C6C">
        <w:rPr>
          <w:rFonts w:eastAsia="Times New Roman"/>
          <w:sz w:val="24"/>
        </w:rPr>
        <w:t xml:space="preserve"> be written to</w:t>
      </w:r>
      <w:r w:rsidR="005D6D86" w:rsidRPr="00657C6C">
        <w:rPr>
          <w:rFonts w:eastAsia="Times New Roman"/>
          <w:sz w:val="24"/>
        </w:rPr>
        <w:t xml:space="preserve"> address</w:t>
      </w:r>
      <w:r w:rsidR="005C1F3A" w:rsidRPr="00657C6C">
        <w:rPr>
          <w:rFonts w:eastAsia="Times New Roman"/>
          <w:sz w:val="24"/>
        </w:rPr>
        <w:t xml:space="preserve"> “what</w:t>
      </w:r>
      <w:r w:rsidR="006C5CCD" w:rsidRPr="00657C6C">
        <w:rPr>
          <w:rFonts w:eastAsia="Times New Roman"/>
          <w:sz w:val="24"/>
        </w:rPr>
        <w:t xml:space="preserve">” </w:t>
      </w:r>
      <w:r w:rsidR="005D6D86" w:rsidRPr="00657C6C">
        <w:rPr>
          <w:rFonts w:eastAsia="Times New Roman"/>
          <w:sz w:val="24"/>
        </w:rPr>
        <w:t xml:space="preserve">a student needs to demonstrate </w:t>
      </w:r>
      <w:r>
        <w:rPr>
          <w:rFonts w:eastAsia="Times New Roman"/>
          <w:sz w:val="24"/>
        </w:rPr>
        <w:t xml:space="preserve">to enter a program </w:t>
      </w:r>
      <w:r w:rsidR="006C5CCD" w:rsidRPr="00657C6C">
        <w:rPr>
          <w:rFonts w:eastAsia="Times New Roman"/>
          <w:sz w:val="24"/>
        </w:rPr>
        <w:t>rather than</w:t>
      </w:r>
      <w:r w:rsidR="005D6D86" w:rsidRPr="00657C6C">
        <w:rPr>
          <w:rFonts w:eastAsia="Times New Roman"/>
          <w:sz w:val="24"/>
        </w:rPr>
        <w:t xml:space="preserve"> </w:t>
      </w:r>
      <w:r w:rsidR="006C5CCD" w:rsidRPr="00657C6C">
        <w:rPr>
          <w:rFonts w:eastAsia="Times New Roman"/>
          <w:sz w:val="24"/>
        </w:rPr>
        <w:t>“how</w:t>
      </w:r>
      <w:r w:rsidR="005D6D86" w:rsidRPr="00657C6C">
        <w:rPr>
          <w:rFonts w:eastAsia="Times New Roman"/>
          <w:sz w:val="24"/>
        </w:rPr>
        <w:t>”.</w:t>
      </w:r>
      <w:r w:rsidR="00657C6C" w:rsidRPr="00657C6C">
        <w:rPr>
          <w:rFonts w:eastAsia="Times New Roman"/>
          <w:sz w:val="24"/>
        </w:rPr>
        <w:t xml:space="preserve"> </w:t>
      </w:r>
    </w:p>
    <w:p w14:paraId="634B30C6" w14:textId="77777777" w:rsidR="00657C6C" w:rsidRPr="00657C6C" w:rsidRDefault="00657C6C" w:rsidP="00381653">
      <w:pPr>
        <w:spacing w:after="160" w:line="252" w:lineRule="auto"/>
        <w:contextualSpacing/>
        <w:rPr>
          <w:rFonts w:eastAsia="Times New Roman"/>
          <w:sz w:val="24"/>
        </w:rPr>
      </w:pPr>
    </w:p>
    <w:p w14:paraId="677172E4" w14:textId="337725F5" w:rsidR="00F21BD6" w:rsidRPr="00657C6C" w:rsidDel="00F21BD6" w:rsidRDefault="00657C6C" w:rsidP="00381653">
      <w:pPr>
        <w:spacing w:after="160" w:line="252" w:lineRule="auto"/>
        <w:contextualSpacing/>
        <w:rPr>
          <w:rFonts w:eastAsia="Times New Roman"/>
          <w:sz w:val="24"/>
        </w:rPr>
      </w:pPr>
      <w:r w:rsidRPr="00657C6C">
        <w:rPr>
          <w:rFonts w:eastAsia="Times New Roman"/>
          <w:sz w:val="24"/>
        </w:rPr>
        <w:t>Example</w:t>
      </w:r>
      <w:r w:rsidR="00F21BD6">
        <w:rPr>
          <w:rFonts w:eastAsia="Times New Roman"/>
          <w:sz w:val="24"/>
        </w:rPr>
        <w:t xml:space="preserve">: </w:t>
      </w:r>
    </w:p>
    <w:tbl>
      <w:tblPr>
        <w:tblStyle w:val="TableGrid"/>
        <w:tblW w:w="0" w:type="auto"/>
        <w:tblLook w:val="04A0" w:firstRow="1" w:lastRow="0" w:firstColumn="1" w:lastColumn="0" w:noHBand="0" w:noVBand="1"/>
      </w:tblPr>
      <w:tblGrid>
        <w:gridCol w:w="3235"/>
        <w:gridCol w:w="4770"/>
      </w:tblGrid>
      <w:tr w:rsidR="00F21BD6" w14:paraId="0FC63090" w14:textId="77777777" w:rsidTr="00ED697B">
        <w:tc>
          <w:tcPr>
            <w:tcW w:w="3235" w:type="dxa"/>
          </w:tcPr>
          <w:p w14:paraId="1140725C" w14:textId="1E4E8BD2" w:rsidR="00F21BD6" w:rsidRDefault="000F23F2" w:rsidP="00381653">
            <w:pPr>
              <w:spacing w:after="160" w:line="252" w:lineRule="auto"/>
              <w:contextualSpacing/>
              <w:rPr>
                <w:rFonts w:eastAsia="Times New Roman"/>
                <w:sz w:val="24"/>
              </w:rPr>
            </w:pPr>
            <w:r>
              <w:rPr>
                <w:rFonts w:eastAsia="Times New Roman"/>
                <w:sz w:val="24"/>
              </w:rPr>
              <w:t xml:space="preserve">Standard describing </w:t>
            </w:r>
            <w:r w:rsidRPr="00ED697B">
              <w:rPr>
                <w:rFonts w:eastAsia="Times New Roman"/>
                <w:i/>
                <w:sz w:val="24"/>
              </w:rPr>
              <w:t>what</w:t>
            </w:r>
            <w:r>
              <w:rPr>
                <w:rFonts w:eastAsia="Times New Roman"/>
                <w:sz w:val="24"/>
              </w:rPr>
              <w:t>:</w:t>
            </w:r>
          </w:p>
        </w:tc>
        <w:tc>
          <w:tcPr>
            <w:tcW w:w="4770" w:type="dxa"/>
          </w:tcPr>
          <w:p w14:paraId="706FE58C" w14:textId="3DD97145" w:rsidR="00F21BD6" w:rsidRDefault="00F21BD6" w:rsidP="00381653">
            <w:pPr>
              <w:spacing w:after="160" w:line="252" w:lineRule="auto"/>
              <w:contextualSpacing/>
              <w:rPr>
                <w:rFonts w:eastAsia="Times New Roman"/>
                <w:sz w:val="24"/>
              </w:rPr>
            </w:pPr>
            <w:r w:rsidRPr="00657C6C">
              <w:rPr>
                <w:rFonts w:eastAsia="Times New Roman"/>
                <w:sz w:val="24"/>
              </w:rPr>
              <w:t>Student must be able to</w:t>
            </w:r>
            <w:r>
              <w:rPr>
                <w:rFonts w:eastAsia="Times New Roman"/>
                <w:sz w:val="24"/>
              </w:rPr>
              <w:t xml:space="preserve"> </w:t>
            </w:r>
            <w:r w:rsidRPr="00ED697B">
              <w:rPr>
                <w:rFonts w:eastAsia="Times New Roman"/>
                <w:i/>
                <w:sz w:val="24"/>
              </w:rPr>
              <w:t>detect</w:t>
            </w:r>
            <w:r>
              <w:rPr>
                <w:rFonts w:eastAsia="Times New Roman"/>
                <w:sz w:val="24"/>
              </w:rPr>
              <w:t xml:space="preserve"> a heartbeat</w:t>
            </w:r>
          </w:p>
        </w:tc>
      </w:tr>
      <w:tr w:rsidR="00F21BD6" w14:paraId="3CD1CDF8" w14:textId="77777777" w:rsidTr="00ED697B">
        <w:tc>
          <w:tcPr>
            <w:tcW w:w="3235" w:type="dxa"/>
          </w:tcPr>
          <w:p w14:paraId="4141ABCD" w14:textId="3D4DAAC9" w:rsidR="00F21BD6" w:rsidRDefault="000F23F2" w:rsidP="00381653">
            <w:pPr>
              <w:spacing w:after="160" w:line="252" w:lineRule="auto"/>
              <w:contextualSpacing/>
              <w:rPr>
                <w:rFonts w:eastAsia="Times New Roman"/>
                <w:sz w:val="24"/>
              </w:rPr>
            </w:pPr>
            <w:r>
              <w:rPr>
                <w:rFonts w:eastAsia="Times New Roman"/>
                <w:sz w:val="24"/>
              </w:rPr>
              <w:t xml:space="preserve">Standard describing </w:t>
            </w:r>
            <w:r w:rsidRPr="00ED697B">
              <w:rPr>
                <w:rFonts w:eastAsia="Times New Roman"/>
                <w:i/>
                <w:sz w:val="24"/>
              </w:rPr>
              <w:t>how</w:t>
            </w:r>
            <w:r>
              <w:rPr>
                <w:rFonts w:eastAsia="Times New Roman"/>
                <w:sz w:val="24"/>
              </w:rPr>
              <w:t>:</w:t>
            </w:r>
          </w:p>
        </w:tc>
        <w:tc>
          <w:tcPr>
            <w:tcW w:w="4770" w:type="dxa"/>
          </w:tcPr>
          <w:p w14:paraId="0F68A6C0" w14:textId="34F2A664" w:rsidR="00F21BD6" w:rsidRDefault="00901198" w:rsidP="00381653">
            <w:pPr>
              <w:spacing w:after="160" w:line="252" w:lineRule="auto"/>
              <w:contextualSpacing/>
              <w:rPr>
                <w:rFonts w:eastAsia="Times New Roman"/>
                <w:sz w:val="24"/>
              </w:rPr>
            </w:pPr>
            <w:r>
              <w:rPr>
                <w:rFonts w:eastAsia="Times New Roman"/>
                <w:i/>
                <w:sz w:val="24"/>
              </w:rPr>
              <w:t>H</w:t>
            </w:r>
            <w:r w:rsidR="00F21BD6" w:rsidRPr="00ED697B">
              <w:rPr>
                <w:rFonts w:eastAsia="Times New Roman"/>
                <w:i/>
                <w:sz w:val="24"/>
              </w:rPr>
              <w:t>ear</w:t>
            </w:r>
            <w:r w:rsidR="00F21BD6" w:rsidRPr="00657C6C">
              <w:rPr>
                <w:rFonts w:eastAsia="Times New Roman"/>
                <w:sz w:val="24"/>
              </w:rPr>
              <w:t xml:space="preserve"> a heartbeat through a stethoscope</w:t>
            </w:r>
          </w:p>
        </w:tc>
      </w:tr>
    </w:tbl>
    <w:p w14:paraId="49BDF5C4" w14:textId="3C092B84" w:rsidR="00E946A0" w:rsidRPr="00F712D3" w:rsidRDefault="00657C6C" w:rsidP="00381653">
      <w:pPr>
        <w:spacing w:after="160" w:line="252" w:lineRule="auto"/>
        <w:contextualSpacing/>
        <w:rPr>
          <w:rFonts w:eastAsia="Times New Roman"/>
          <w:sz w:val="24"/>
        </w:rPr>
      </w:pPr>
      <w:r w:rsidRPr="00657C6C">
        <w:rPr>
          <w:rFonts w:eastAsia="Times New Roman"/>
          <w:sz w:val="24"/>
        </w:rPr>
        <w:t xml:space="preserve"> </w:t>
      </w:r>
    </w:p>
    <w:p w14:paraId="523511FC" w14:textId="77777777" w:rsidR="005F1BBE" w:rsidRPr="00381653" w:rsidRDefault="005F1BBE" w:rsidP="005F1BBE">
      <w:pPr>
        <w:spacing w:after="160" w:line="252" w:lineRule="auto"/>
        <w:contextualSpacing/>
        <w:rPr>
          <w:rFonts w:eastAsia="Times New Roman"/>
          <w:b/>
          <w:sz w:val="24"/>
        </w:rPr>
      </w:pPr>
      <w:r w:rsidRPr="00381653">
        <w:rPr>
          <w:rFonts w:eastAsia="Times New Roman"/>
          <w:b/>
          <w:iCs/>
          <w:sz w:val="24"/>
        </w:rPr>
        <w:t>Questions to consider when writing or reviewing technical standards</w:t>
      </w:r>
      <w:r w:rsidRPr="00381653">
        <w:rPr>
          <w:rFonts w:eastAsia="Times New Roman"/>
          <w:b/>
          <w:sz w:val="24"/>
        </w:rPr>
        <w:t xml:space="preserve"> </w:t>
      </w:r>
    </w:p>
    <w:p w14:paraId="5F5241D2" w14:textId="39F747BB" w:rsidR="008B309A" w:rsidRDefault="008B309A" w:rsidP="005F1BBE">
      <w:pPr>
        <w:numPr>
          <w:ilvl w:val="1"/>
          <w:numId w:val="1"/>
        </w:numPr>
        <w:spacing w:after="160" w:line="252" w:lineRule="auto"/>
        <w:contextualSpacing/>
        <w:rPr>
          <w:rFonts w:eastAsia="Times New Roman"/>
          <w:sz w:val="24"/>
        </w:rPr>
      </w:pPr>
      <w:r>
        <w:rPr>
          <w:rFonts w:eastAsia="Times New Roman"/>
          <w:sz w:val="24"/>
        </w:rPr>
        <w:t>Does your review team include the appropriate representation from faculty, administration, disability services, students, college legal counsel</w:t>
      </w:r>
      <w:r w:rsidR="008C42E7">
        <w:rPr>
          <w:rFonts w:eastAsia="Times New Roman"/>
          <w:sz w:val="24"/>
        </w:rPr>
        <w:t>, and program advisory boards?</w:t>
      </w:r>
    </w:p>
    <w:p w14:paraId="5E879F3B" w14:textId="11E0FD6E" w:rsidR="004D4A3D" w:rsidRDefault="004D4A3D" w:rsidP="005F1BBE">
      <w:pPr>
        <w:numPr>
          <w:ilvl w:val="1"/>
          <w:numId w:val="1"/>
        </w:numPr>
        <w:spacing w:after="160" w:line="252" w:lineRule="auto"/>
        <w:contextualSpacing/>
        <w:rPr>
          <w:rFonts w:eastAsia="Times New Roman"/>
          <w:sz w:val="24"/>
        </w:rPr>
      </w:pPr>
      <w:r>
        <w:rPr>
          <w:rFonts w:eastAsia="Times New Roman"/>
          <w:sz w:val="24"/>
        </w:rPr>
        <w:t>Are your program technical standards</w:t>
      </w:r>
      <w:r w:rsidR="00901198">
        <w:rPr>
          <w:rFonts w:eastAsia="Times New Roman"/>
          <w:sz w:val="24"/>
        </w:rPr>
        <w:t xml:space="preserve"> based on</w:t>
      </w:r>
      <w:r>
        <w:rPr>
          <w:rFonts w:eastAsia="Times New Roman"/>
          <w:sz w:val="24"/>
        </w:rPr>
        <w:t xml:space="preserve"> guidance from professional organizations and </w:t>
      </w:r>
      <w:r w:rsidR="00901198">
        <w:rPr>
          <w:rFonts w:eastAsia="Times New Roman"/>
          <w:sz w:val="24"/>
        </w:rPr>
        <w:t xml:space="preserve">are your </w:t>
      </w:r>
      <w:r>
        <w:rPr>
          <w:rFonts w:eastAsia="Times New Roman"/>
          <w:sz w:val="24"/>
        </w:rPr>
        <w:t xml:space="preserve">standards specific to the program? </w:t>
      </w:r>
    </w:p>
    <w:p w14:paraId="58FFD4CD" w14:textId="3B08E552" w:rsidR="005F1BBE" w:rsidRDefault="005F1BBE" w:rsidP="005F1BBE">
      <w:pPr>
        <w:numPr>
          <w:ilvl w:val="1"/>
          <w:numId w:val="1"/>
        </w:numPr>
        <w:spacing w:after="160" w:line="252" w:lineRule="auto"/>
        <w:contextualSpacing/>
        <w:rPr>
          <w:rFonts w:eastAsia="Times New Roman"/>
          <w:sz w:val="24"/>
        </w:rPr>
      </w:pPr>
      <w:r>
        <w:rPr>
          <w:rFonts w:eastAsia="Times New Roman"/>
          <w:sz w:val="24"/>
        </w:rPr>
        <w:t>Is it clearly stated on technical standards that students need to be able to meet the standards with or without accommodation?</w:t>
      </w:r>
    </w:p>
    <w:p w14:paraId="5DFF2371" w14:textId="7176C647" w:rsidR="00C13FB7" w:rsidRPr="00C13FB7" w:rsidRDefault="00C13FB7" w:rsidP="00C13FB7">
      <w:pPr>
        <w:numPr>
          <w:ilvl w:val="1"/>
          <w:numId w:val="1"/>
        </w:numPr>
        <w:spacing w:after="160" w:line="252" w:lineRule="auto"/>
        <w:contextualSpacing/>
        <w:rPr>
          <w:rFonts w:eastAsia="Times New Roman"/>
          <w:sz w:val="24"/>
        </w:rPr>
      </w:pPr>
      <w:r>
        <w:rPr>
          <w:rFonts w:eastAsia="Times New Roman"/>
          <w:sz w:val="24"/>
        </w:rPr>
        <w:t xml:space="preserve">Are standards focused on program entry level skills vs. skills students will learn within the program/ have upon completion? </w:t>
      </w:r>
    </w:p>
    <w:p w14:paraId="699397A8" w14:textId="3E6534F0" w:rsidR="005F1BBE" w:rsidRPr="00590B7E" w:rsidRDefault="008B309A" w:rsidP="005F1BBE">
      <w:pPr>
        <w:numPr>
          <w:ilvl w:val="1"/>
          <w:numId w:val="1"/>
        </w:numPr>
        <w:spacing w:after="160" w:line="252" w:lineRule="auto"/>
        <w:contextualSpacing/>
        <w:rPr>
          <w:rFonts w:eastAsia="Times New Roman"/>
          <w:sz w:val="24"/>
        </w:rPr>
      </w:pPr>
      <w:r w:rsidRPr="00ED697B">
        <w:rPr>
          <w:rFonts w:eastAsia="Times New Roman"/>
          <w:iCs/>
          <w:sz w:val="24"/>
        </w:rPr>
        <w:t xml:space="preserve">Have you </w:t>
      </w:r>
      <w:r>
        <w:rPr>
          <w:rFonts w:eastAsia="Times New Roman"/>
          <w:iCs/>
          <w:sz w:val="24"/>
        </w:rPr>
        <w:t>determined why each action listed on the technical standards is necessary to enter the program?</w:t>
      </w:r>
    </w:p>
    <w:p w14:paraId="5E2E0A68" w14:textId="4BACAD9C" w:rsidR="005F1BBE" w:rsidRPr="002F130C" w:rsidRDefault="005F1BBE" w:rsidP="005F1BBE">
      <w:pPr>
        <w:numPr>
          <w:ilvl w:val="1"/>
          <w:numId w:val="1"/>
        </w:numPr>
        <w:spacing w:after="160" w:line="252" w:lineRule="auto"/>
        <w:contextualSpacing/>
        <w:rPr>
          <w:rFonts w:eastAsia="Times New Roman"/>
          <w:sz w:val="24"/>
        </w:rPr>
      </w:pPr>
      <w:r w:rsidRPr="00ED697B">
        <w:rPr>
          <w:rFonts w:eastAsia="Times New Roman"/>
          <w:iCs/>
          <w:sz w:val="24"/>
        </w:rPr>
        <w:t xml:space="preserve">How do your standards reflect both physical and </w:t>
      </w:r>
      <w:r w:rsidR="00DC5DFC">
        <w:rPr>
          <w:rFonts w:eastAsia="Times New Roman"/>
          <w:iCs/>
          <w:sz w:val="24"/>
        </w:rPr>
        <w:t>emotional</w:t>
      </w:r>
      <w:r w:rsidRPr="00ED697B">
        <w:rPr>
          <w:rFonts w:eastAsia="Times New Roman"/>
          <w:iCs/>
          <w:sz w:val="24"/>
        </w:rPr>
        <w:t xml:space="preserve"> abilities? </w:t>
      </w:r>
    </w:p>
    <w:p w14:paraId="275213B8" w14:textId="4DD3BE72" w:rsidR="005F1BBE" w:rsidRPr="00B26196" w:rsidRDefault="005D27CA" w:rsidP="005F1BBE">
      <w:pPr>
        <w:numPr>
          <w:ilvl w:val="2"/>
          <w:numId w:val="1"/>
        </w:numPr>
        <w:spacing w:after="160" w:line="252" w:lineRule="auto"/>
        <w:contextualSpacing/>
        <w:rPr>
          <w:rFonts w:eastAsia="Times New Roman"/>
          <w:sz w:val="24"/>
        </w:rPr>
      </w:pPr>
      <w:r>
        <w:rPr>
          <w:rFonts w:eastAsia="Times New Roman"/>
          <w:sz w:val="24"/>
        </w:rPr>
        <w:t>Do</w:t>
      </w:r>
      <w:r w:rsidR="005F1BBE">
        <w:rPr>
          <w:rFonts w:eastAsia="Times New Roman"/>
          <w:sz w:val="24"/>
        </w:rPr>
        <w:t xml:space="preserve"> </w:t>
      </w:r>
      <w:r>
        <w:rPr>
          <w:rFonts w:eastAsia="Times New Roman"/>
          <w:sz w:val="24"/>
        </w:rPr>
        <w:t xml:space="preserve">these standards </w:t>
      </w:r>
      <w:r w:rsidR="008B1473">
        <w:rPr>
          <w:rFonts w:eastAsia="Times New Roman"/>
          <w:sz w:val="24"/>
        </w:rPr>
        <w:t>follow the code of ethics for both the college and professional organizations?</w:t>
      </w:r>
    </w:p>
    <w:p w14:paraId="1C9B5AA8" w14:textId="2156A0E2" w:rsidR="005F1BBE" w:rsidRPr="005D27CA" w:rsidRDefault="005D27CA">
      <w:pPr>
        <w:numPr>
          <w:ilvl w:val="2"/>
          <w:numId w:val="1"/>
        </w:numPr>
        <w:spacing w:after="160" w:line="252" w:lineRule="auto"/>
        <w:contextualSpacing/>
        <w:rPr>
          <w:rFonts w:eastAsia="Times New Roman"/>
          <w:sz w:val="24"/>
        </w:rPr>
      </w:pPr>
      <w:r>
        <w:rPr>
          <w:rFonts w:eastAsia="Times New Roman"/>
          <w:sz w:val="24"/>
        </w:rPr>
        <w:t>Remember: y</w:t>
      </w:r>
      <w:r w:rsidR="005F1BBE">
        <w:rPr>
          <w:rFonts w:eastAsia="Times New Roman"/>
          <w:sz w:val="24"/>
        </w:rPr>
        <w:t>ou can notice a behavior but cannot attribute it to mental health</w:t>
      </w:r>
      <w:r>
        <w:rPr>
          <w:rFonts w:eastAsia="Times New Roman"/>
          <w:sz w:val="24"/>
        </w:rPr>
        <w:t xml:space="preserve"> and you m</w:t>
      </w:r>
      <w:r w:rsidR="005F1BBE" w:rsidRPr="005D27CA">
        <w:rPr>
          <w:rFonts w:eastAsia="Times New Roman"/>
          <w:sz w:val="24"/>
        </w:rPr>
        <w:t>ay or may not be able to accommodate behaviors related to mental</w:t>
      </w:r>
      <w:r w:rsidR="00234504" w:rsidRPr="005D27CA">
        <w:rPr>
          <w:rFonts w:eastAsia="Times New Roman"/>
          <w:sz w:val="24"/>
        </w:rPr>
        <w:t xml:space="preserve"> health. </w:t>
      </w:r>
    </w:p>
    <w:p w14:paraId="646338D6" w14:textId="59BD8D7E" w:rsidR="005F1BBE" w:rsidRPr="002F130C" w:rsidRDefault="00901198" w:rsidP="005F1BBE">
      <w:pPr>
        <w:numPr>
          <w:ilvl w:val="1"/>
          <w:numId w:val="1"/>
        </w:numPr>
        <w:spacing w:after="160" w:line="252" w:lineRule="auto"/>
        <w:contextualSpacing/>
        <w:rPr>
          <w:rFonts w:eastAsia="Times New Roman"/>
          <w:sz w:val="24"/>
        </w:rPr>
      </w:pPr>
      <w:r>
        <w:rPr>
          <w:rFonts w:eastAsia="Times New Roman"/>
          <w:iCs/>
          <w:sz w:val="24"/>
        </w:rPr>
        <w:t>If specific number criteria (such as weight limits) are utilized, h</w:t>
      </w:r>
      <w:r w:rsidR="008B309A" w:rsidRPr="00ED697B">
        <w:rPr>
          <w:rFonts w:eastAsia="Times New Roman"/>
          <w:iCs/>
          <w:sz w:val="24"/>
        </w:rPr>
        <w:t>ave you determined w</w:t>
      </w:r>
      <w:r w:rsidR="005F1BBE" w:rsidRPr="00ED697B">
        <w:rPr>
          <w:rFonts w:eastAsia="Times New Roman"/>
          <w:iCs/>
          <w:sz w:val="24"/>
        </w:rPr>
        <w:t xml:space="preserve">hy </w:t>
      </w:r>
      <w:r>
        <w:rPr>
          <w:rFonts w:eastAsia="Times New Roman"/>
          <w:iCs/>
          <w:sz w:val="24"/>
        </w:rPr>
        <w:t>they</w:t>
      </w:r>
      <w:r w:rsidR="005F1BBE" w:rsidRPr="00ED697B">
        <w:rPr>
          <w:rFonts w:eastAsia="Times New Roman"/>
          <w:iCs/>
          <w:sz w:val="24"/>
        </w:rPr>
        <w:t xml:space="preserve"> </w:t>
      </w:r>
      <w:r>
        <w:rPr>
          <w:rFonts w:eastAsia="Times New Roman"/>
          <w:iCs/>
          <w:sz w:val="24"/>
        </w:rPr>
        <w:t xml:space="preserve">are </w:t>
      </w:r>
      <w:r w:rsidR="005F1BBE" w:rsidRPr="00ED697B">
        <w:rPr>
          <w:rFonts w:eastAsia="Times New Roman"/>
          <w:iCs/>
          <w:sz w:val="24"/>
        </w:rPr>
        <w:t xml:space="preserve">included? </w:t>
      </w:r>
      <w:r w:rsidR="008B309A">
        <w:rPr>
          <w:rFonts w:eastAsia="Times New Roman"/>
          <w:iCs/>
          <w:sz w:val="24"/>
        </w:rPr>
        <w:t xml:space="preserve">Are you able to explain how </w:t>
      </w:r>
      <w:r w:rsidR="005F1BBE" w:rsidRPr="00ED697B">
        <w:rPr>
          <w:rFonts w:eastAsia="Times New Roman"/>
          <w:iCs/>
          <w:sz w:val="24"/>
        </w:rPr>
        <w:t xml:space="preserve">you arrived at these numbers? </w:t>
      </w:r>
    </w:p>
    <w:p w14:paraId="4D885A95" w14:textId="57E9F429" w:rsidR="005F1BBE" w:rsidRDefault="005F1BBE" w:rsidP="005F1BBE">
      <w:pPr>
        <w:numPr>
          <w:ilvl w:val="1"/>
          <w:numId w:val="1"/>
        </w:numPr>
        <w:spacing w:after="160" w:line="252" w:lineRule="auto"/>
        <w:contextualSpacing/>
        <w:rPr>
          <w:rFonts w:eastAsia="Times New Roman"/>
          <w:sz w:val="24"/>
        </w:rPr>
      </w:pPr>
      <w:r>
        <w:rPr>
          <w:rFonts w:eastAsia="Times New Roman"/>
          <w:sz w:val="24"/>
        </w:rPr>
        <w:t>Do your standards explain “what” needs to be done, not “how”?</w:t>
      </w:r>
    </w:p>
    <w:p w14:paraId="6B97D6FD" w14:textId="2176FF38" w:rsidR="00C13FB7" w:rsidRDefault="005F1BBE" w:rsidP="00C13FB7">
      <w:pPr>
        <w:numPr>
          <w:ilvl w:val="1"/>
          <w:numId w:val="1"/>
        </w:numPr>
        <w:spacing w:after="160" w:line="252" w:lineRule="auto"/>
        <w:contextualSpacing/>
        <w:rPr>
          <w:rFonts w:eastAsia="Times New Roman"/>
          <w:sz w:val="24"/>
        </w:rPr>
      </w:pPr>
      <w:r>
        <w:rPr>
          <w:rFonts w:eastAsia="Times New Roman"/>
          <w:sz w:val="24"/>
        </w:rPr>
        <w:t>Are your technical standards accessible/inclusive to students with diverse abilities while also ensuring patient safety?</w:t>
      </w:r>
    </w:p>
    <w:p w14:paraId="6D29D20B" w14:textId="28F78728" w:rsidR="008D34EE" w:rsidRPr="008F7367" w:rsidRDefault="008B309A" w:rsidP="00C13FB7">
      <w:pPr>
        <w:numPr>
          <w:ilvl w:val="1"/>
          <w:numId w:val="1"/>
        </w:numPr>
        <w:spacing w:after="160" w:line="252" w:lineRule="auto"/>
        <w:contextualSpacing/>
        <w:rPr>
          <w:rFonts w:eastAsia="Times New Roman"/>
          <w:sz w:val="24"/>
        </w:rPr>
      </w:pPr>
      <w:r>
        <w:rPr>
          <w:rFonts w:eastAsia="Times New Roman"/>
          <w:sz w:val="24"/>
        </w:rPr>
        <w:t>Do you have a systematic process in place for r</w:t>
      </w:r>
      <w:r w:rsidR="008D34EE">
        <w:rPr>
          <w:rFonts w:eastAsia="Times New Roman"/>
          <w:sz w:val="24"/>
        </w:rPr>
        <w:t>eview</w:t>
      </w:r>
      <w:r>
        <w:rPr>
          <w:rFonts w:eastAsia="Times New Roman"/>
          <w:sz w:val="24"/>
        </w:rPr>
        <w:t>ing your standards</w:t>
      </w:r>
      <w:r w:rsidR="008D34EE">
        <w:rPr>
          <w:rFonts w:eastAsia="Times New Roman"/>
          <w:sz w:val="24"/>
        </w:rPr>
        <w:t xml:space="preserve"> </w:t>
      </w:r>
      <w:r>
        <w:rPr>
          <w:rFonts w:eastAsia="Times New Roman"/>
          <w:sz w:val="24"/>
        </w:rPr>
        <w:t>regularly?</w:t>
      </w:r>
    </w:p>
    <w:p w14:paraId="30B4F3AB" w14:textId="77777777" w:rsidR="00A2040F" w:rsidRPr="00961DC6" w:rsidRDefault="00A2040F" w:rsidP="005C2AE8">
      <w:pPr>
        <w:spacing w:after="160" w:line="259" w:lineRule="auto"/>
      </w:pPr>
    </w:p>
    <w:p w14:paraId="6022D629" w14:textId="1A819E0D" w:rsidR="00B82939" w:rsidRPr="00E733D6" w:rsidRDefault="008F02AB" w:rsidP="005C2AE8">
      <w:pPr>
        <w:jc w:val="center"/>
        <w:rPr>
          <w:b/>
          <w:bCs/>
          <w:sz w:val="28"/>
          <w:szCs w:val="28"/>
        </w:rPr>
      </w:pPr>
      <w:r w:rsidRPr="00E733D6">
        <w:rPr>
          <w:b/>
          <w:bCs/>
          <w:sz w:val="28"/>
          <w:szCs w:val="28"/>
        </w:rPr>
        <w:lastRenderedPageBreak/>
        <w:t>References:</w:t>
      </w:r>
    </w:p>
    <w:p w14:paraId="79991AA8" w14:textId="01A0993E" w:rsidR="008F02AB" w:rsidRDefault="008F02AB"/>
    <w:p w14:paraId="4A8933F3" w14:textId="3F8DDC46" w:rsidR="000152E3" w:rsidRDefault="000152E3" w:rsidP="000152E3">
      <w:pPr>
        <w:rPr>
          <w:rFonts w:asciiTheme="minorHAnsi" w:hAnsiTheme="minorHAnsi" w:cstheme="minorHAnsi"/>
          <w:bCs/>
          <w:color w:val="333333"/>
          <w:sz w:val="24"/>
          <w:szCs w:val="24"/>
          <w:shd w:val="clear" w:color="auto" w:fill="FFFFFF"/>
        </w:rPr>
      </w:pPr>
      <w:r>
        <w:t xml:space="preserve">ADA National Network. (2019). </w:t>
      </w:r>
      <w:r w:rsidRPr="000152E3">
        <w:rPr>
          <w:rFonts w:asciiTheme="minorHAnsi" w:hAnsiTheme="minorHAnsi" w:cstheme="minorHAnsi"/>
          <w:bCs/>
          <w:color w:val="333333"/>
          <w:sz w:val="24"/>
          <w:szCs w:val="24"/>
          <w:shd w:val="clear" w:color="auto" w:fill="FFFFFF"/>
        </w:rPr>
        <w:t xml:space="preserve">What are a </w:t>
      </w:r>
      <w:proofErr w:type="gramStart"/>
      <w:r w:rsidRPr="000152E3">
        <w:rPr>
          <w:rFonts w:asciiTheme="minorHAnsi" w:hAnsiTheme="minorHAnsi" w:cstheme="minorHAnsi"/>
          <w:bCs/>
          <w:color w:val="333333"/>
          <w:sz w:val="24"/>
          <w:szCs w:val="24"/>
          <w:shd w:val="clear" w:color="auto" w:fill="FFFFFF"/>
        </w:rPr>
        <w:t>public or private college-university's responsibilities</w:t>
      </w:r>
      <w:proofErr w:type="gramEnd"/>
      <w:r w:rsidRPr="000152E3">
        <w:rPr>
          <w:rFonts w:asciiTheme="minorHAnsi" w:hAnsiTheme="minorHAnsi" w:cstheme="minorHAnsi"/>
          <w:bCs/>
          <w:color w:val="333333"/>
          <w:sz w:val="24"/>
          <w:szCs w:val="24"/>
          <w:shd w:val="clear" w:color="auto" w:fill="FFFFFF"/>
        </w:rPr>
        <w:t xml:space="preserve"> to students with disabilities?</w:t>
      </w:r>
      <w:r>
        <w:rPr>
          <w:rFonts w:asciiTheme="minorHAnsi" w:hAnsiTheme="minorHAnsi" w:cstheme="minorHAnsi"/>
          <w:bCs/>
          <w:color w:val="333333"/>
          <w:sz w:val="24"/>
          <w:szCs w:val="24"/>
          <w:shd w:val="clear" w:color="auto" w:fill="FFFFFF"/>
        </w:rPr>
        <w:t xml:space="preserve"> Retrieved from </w:t>
      </w:r>
      <w:hyperlink r:id="rId10" w:history="1">
        <w:r w:rsidRPr="00021621">
          <w:rPr>
            <w:rStyle w:val="Hyperlink"/>
            <w:rFonts w:asciiTheme="minorHAnsi" w:hAnsiTheme="minorHAnsi" w:cstheme="minorHAnsi"/>
            <w:bCs/>
            <w:sz w:val="24"/>
            <w:szCs w:val="24"/>
            <w:shd w:val="clear" w:color="auto" w:fill="FFFFFF"/>
          </w:rPr>
          <w:t>https://adata.org/faq/what-are-public-or-private-college-universitys-responsibilities-students-disabilities</w:t>
        </w:r>
      </w:hyperlink>
    </w:p>
    <w:p w14:paraId="2BEEBBA6" w14:textId="77777777" w:rsidR="000152E3" w:rsidRDefault="000152E3" w:rsidP="000152E3"/>
    <w:p w14:paraId="0FBE2531" w14:textId="3A09FE71" w:rsidR="008F02AB" w:rsidRDefault="008F02AB" w:rsidP="000152E3">
      <w:r>
        <w:t xml:space="preserve">Ailey, S. H. &amp; Marks, B. (2016). </w:t>
      </w:r>
      <w:r w:rsidR="00154749">
        <w:t>Technical standards for nursing education programs in the 21</w:t>
      </w:r>
      <w:r w:rsidR="00154749" w:rsidRPr="00154749">
        <w:rPr>
          <w:vertAlign w:val="superscript"/>
        </w:rPr>
        <w:t>st</w:t>
      </w:r>
      <w:r w:rsidR="00154749">
        <w:t xml:space="preserve"> century. </w:t>
      </w:r>
      <w:r w:rsidR="00154749" w:rsidRPr="00214093">
        <w:rPr>
          <w:i/>
        </w:rPr>
        <w:t>Rehabilitation Nursing, 0, 1-11</w:t>
      </w:r>
      <w:r w:rsidR="00154749">
        <w:t xml:space="preserve">. </w:t>
      </w:r>
      <w:proofErr w:type="spellStart"/>
      <w:r w:rsidR="00972355">
        <w:t>d</w:t>
      </w:r>
      <w:r w:rsidR="00154749">
        <w:t>oi</w:t>
      </w:r>
      <w:proofErr w:type="spellEnd"/>
      <w:r w:rsidR="00154749">
        <w:t>: 10.1002/rnj.278</w:t>
      </w:r>
    </w:p>
    <w:p w14:paraId="3034C4A6" w14:textId="77777777" w:rsidR="00972355" w:rsidRDefault="00972355" w:rsidP="00972355">
      <w:pPr>
        <w:shd w:val="clear" w:color="auto" w:fill="FFFFFF"/>
        <w:spacing w:line="336" w:lineRule="atLeast"/>
        <w:ind w:right="225"/>
      </w:pPr>
    </w:p>
    <w:p w14:paraId="02545308" w14:textId="3C1AFF55" w:rsidR="00972355" w:rsidRDefault="00E76102" w:rsidP="00972355">
      <w:pPr>
        <w:shd w:val="clear" w:color="auto" w:fill="FFFFFF"/>
        <w:spacing w:line="336" w:lineRule="atLeast"/>
        <w:ind w:right="225"/>
        <w:rPr>
          <w:rFonts w:ascii="Arial" w:hAnsi="Arial" w:cs="Arial"/>
          <w:color w:val="575757"/>
          <w:sz w:val="17"/>
          <w:szCs w:val="17"/>
        </w:rPr>
      </w:pPr>
      <w:proofErr w:type="spellStart"/>
      <w:r>
        <w:t>Bagenstos</w:t>
      </w:r>
      <w:proofErr w:type="spellEnd"/>
      <w:r>
        <w:t xml:space="preserve">, S.R. (2016). Technical standards and lawsuits involving accommodations for health professions students. </w:t>
      </w:r>
      <w:r w:rsidR="00214093" w:rsidRPr="00214093">
        <w:rPr>
          <w:i/>
        </w:rPr>
        <w:t>AMA Journal</w:t>
      </w:r>
      <w:r w:rsidRPr="00214093">
        <w:rPr>
          <w:i/>
        </w:rPr>
        <w:t xml:space="preserve"> of Ethics</w:t>
      </w:r>
      <w:r w:rsidR="00972355">
        <w:rPr>
          <w:i/>
        </w:rPr>
        <w:t>, 18</w:t>
      </w:r>
      <w:r w:rsidR="00972355" w:rsidRPr="00972355">
        <w:t>(10), 1010-1016</w:t>
      </w:r>
      <w:r>
        <w:t xml:space="preserve">. </w:t>
      </w:r>
      <w:proofErr w:type="spellStart"/>
      <w:r w:rsidR="00972355" w:rsidRPr="00972355">
        <w:rPr>
          <w:rFonts w:asciiTheme="minorHAnsi" w:hAnsiTheme="minorHAnsi" w:cstheme="minorHAnsi"/>
          <w:sz w:val="24"/>
          <w:szCs w:val="24"/>
        </w:rPr>
        <w:t>doi</w:t>
      </w:r>
      <w:proofErr w:type="spellEnd"/>
      <w:r w:rsidR="00972355" w:rsidRPr="00972355">
        <w:rPr>
          <w:rFonts w:asciiTheme="minorHAnsi" w:hAnsiTheme="minorHAnsi" w:cstheme="minorHAnsi"/>
          <w:sz w:val="24"/>
          <w:szCs w:val="24"/>
        </w:rPr>
        <w:t xml:space="preserve">: </w:t>
      </w:r>
      <w:hyperlink r:id="rId11" w:tgtFrame="_blank" w:history="1">
        <w:r w:rsidR="00972355" w:rsidRPr="00972355">
          <w:rPr>
            <w:rStyle w:val="Hyperlink"/>
            <w:rFonts w:asciiTheme="minorHAnsi" w:hAnsiTheme="minorHAnsi" w:cstheme="minorHAnsi"/>
            <w:color w:val="333333"/>
            <w:sz w:val="24"/>
            <w:szCs w:val="24"/>
          </w:rPr>
          <w:t>10.1001/journalofethics.2016.18.10.hlaw1-1610</w:t>
        </w:r>
      </w:hyperlink>
    </w:p>
    <w:p w14:paraId="405D7D66" w14:textId="1EB90DEB" w:rsidR="00E76102" w:rsidRDefault="00E76102" w:rsidP="000152E3"/>
    <w:p w14:paraId="7FDFEB30" w14:textId="77777777" w:rsidR="00E76102" w:rsidRDefault="00E76102" w:rsidP="000152E3"/>
    <w:p w14:paraId="352FB6F3" w14:textId="48495562" w:rsidR="004D08B2" w:rsidRDefault="004D08B2" w:rsidP="000152E3">
      <w:r>
        <w:t xml:space="preserve">Blacklock, B. &amp; Montgomery, T. (2016). Understanding technical standards in health science and medical education. </w:t>
      </w:r>
      <w:r w:rsidRPr="00214093">
        <w:rPr>
          <w:i/>
        </w:rPr>
        <w:t>Disability Compliance for Higher Education, 21 (11).</w:t>
      </w:r>
      <w:r>
        <w:t xml:space="preserve"> Doi: 10.1002/</w:t>
      </w:r>
      <w:proofErr w:type="spellStart"/>
      <w:r>
        <w:t>dhc</w:t>
      </w:r>
      <w:proofErr w:type="spellEnd"/>
    </w:p>
    <w:p w14:paraId="490361FA" w14:textId="77777777" w:rsidR="004D08B2" w:rsidRDefault="004D08B2" w:rsidP="000152E3"/>
    <w:p w14:paraId="238305F6" w14:textId="721C851B" w:rsidR="004B12F0" w:rsidRDefault="004B12F0" w:rsidP="000152E3">
      <w:proofErr w:type="spellStart"/>
      <w:r>
        <w:t>Colker</w:t>
      </w:r>
      <w:proofErr w:type="spellEnd"/>
      <w:r>
        <w:t xml:space="preserve">, R. &amp; Grossman, P.D. (2014) </w:t>
      </w:r>
      <w:r w:rsidRPr="00ED697B">
        <w:rPr>
          <w:i/>
        </w:rPr>
        <w:t>The law of disability discrimination for higher education professionals</w:t>
      </w:r>
      <w:r>
        <w:t>. Durham, NC: Carolina Academic Press</w:t>
      </w:r>
    </w:p>
    <w:p w14:paraId="4B2B4243" w14:textId="77777777" w:rsidR="004B12F0" w:rsidRDefault="004B12F0" w:rsidP="000152E3"/>
    <w:p w14:paraId="5891CE7C" w14:textId="3C939CE4" w:rsidR="00D31374" w:rsidRDefault="00D31374" w:rsidP="000152E3">
      <w:r>
        <w:t xml:space="preserve">Easton, P., Leiter, S., &amp; Mobley, M. L. (2019). </w:t>
      </w:r>
      <w:r w:rsidRPr="00D31374">
        <w:rPr>
          <w:i/>
          <w:iCs/>
        </w:rPr>
        <w:t>OCR Year in Review</w:t>
      </w:r>
      <w:r>
        <w:t xml:space="preserve">. Presented at Association on Higher Education and Disability (AHEAD) conference. Boston, MA. </w:t>
      </w:r>
    </w:p>
    <w:p w14:paraId="05F6A309" w14:textId="77777777" w:rsidR="00D31374" w:rsidRDefault="00D31374" w:rsidP="000152E3"/>
    <w:p w14:paraId="601F1825" w14:textId="02999265" w:rsidR="005F5B0D" w:rsidRDefault="005F5B0D" w:rsidP="000152E3">
      <w:r>
        <w:t xml:space="preserve">Ferro-Lusk, </w:t>
      </w:r>
      <w:r w:rsidR="007F7D25">
        <w:t xml:space="preserve">M. (2017). A systemwide review of technical standards. </w:t>
      </w:r>
      <w:r w:rsidR="007F7D25" w:rsidRPr="00B9578C">
        <w:rPr>
          <w:i/>
        </w:rPr>
        <w:t>Disability Compliance for Higher Education</w:t>
      </w:r>
      <w:r w:rsidR="007F7D25">
        <w:t>. Doi: 10.1002/</w:t>
      </w:r>
      <w:proofErr w:type="spellStart"/>
      <w:r w:rsidR="007F7D25">
        <w:t>dhe</w:t>
      </w:r>
      <w:proofErr w:type="spellEnd"/>
    </w:p>
    <w:p w14:paraId="39ADFD20" w14:textId="62D47895" w:rsidR="00B9578C" w:rsidRDefault="00B9578C" w:rsidP="000152E3"/>
    <w:p w14:paraId="31CD35AC" w14:textId="789037C2" w:rsidR="003B3AEA" w:rsidRDefault="003B3AEA" w:rsidP="000152E3">
      <w:proofErr w:type="spellStart"/>
      <w:r>
        <w:t>Liptio</w:t>
      </w:r>
      <w:proofErr w:type="spellEnd"/>
      <w:r>
        <w:t xml:space="preserve">, D. A. (2017). A review of legal decisions relevant to technical standards used in pharmacy school admissions. American Journal of Pharmaceutical Education, 81(2). </w:t>
      </w:r>
      <w:proofErr w:type="spellStart"/>
      <w:r>
        <w:t>doi</w:t>
      </w:r>
      <w:proofErr w:type="spellEnd"/>
      <w:r>
        <w:t xml:space="preserve">: </w:t>
      </w:r>
      <w:r w:rsidR="008B309A" w:rsidRPr="00ED697B">
        <w:t>10.5688/ajpe81237</w:t>
      </w:r>
    </w:p>
    <w:p w14:paraId="3030E5A9" w14:textId="77777777" w:rsidR="003B3AEA" w:rsidRDefault="003B3AEA" w:rsidP="000152E3"/>
    <w:p w14:paraId="5787104A" w14:textId="51A13DD0" w:rsidR="00B9578C" w:rsidRDefault="00B9578C" w:rsidP="000152E3">
      <w:r>
        <w:t xml:space="preserve">Meeks, L. M. &amp; Jain, N.R. (2018). Accessibility, inclusion, and action in medical education. </w:t>
      </w:r>
      <w:r w:rsidRPr="00B9578C">
        <w:rPr>
          <w:i/>
        </w:rPr>
        <w:t>Association of American Medical Colleges.</w:t>
      </w:r>
      <w:r>
        <w:t xml:space="preserve"> Retrieved from </w:t>
      </w:r>
      <w:r w:rsidRPr="00B9578C">
        <w:t>https://members.aamc.org/eweb/upload/Accessibility,%20Inclusion,%20and%20Action%20in%20Medical%20Education--Lived%20Experiences%20of%20Learners%20and%20Physicians%20With%20Disabilities.pdf</w:t>
      </w:r>
    </w:p>
    <w:p w14:paraId="350AF53D" w14:textId="77777777" w:rsidR="007F7D25" w:rsidRDefault="007F7D25" w:rsidP="000152E3"/>
    <w:p w14:paraId="09239CE5" w14:textId="72C6F897" w:rsidR="008F02AB" w:rsidRDefault="008F02AB" w:rsidP="000152E3">
      <w:r>
        <w:t xml:space="preserve">Smith, M. (2009). </w:t>
      </w:r>
      <w:r w:rsidRPr="008F02AB">
        <w:rPr>
          <w:i/>
        </w:rPr>
        <w:t>Technical standards and essential functions</w:t>
      </w:r>
      <w:r>
        <w:t xml:space="preserve">. Chicago, IL: National Organization of Nurses with Disabilities. </w:t>
      </w:r>
    </w:p>
    <w:p w14:paraId="563BA7E6" w14:textId="49A503E3" w:rsidR="005D27CA" w:rsidRDefault="005D27CA" w:rsidP="000152E3"/>
    <w:p w14:paraId="5A92F36E" w14:textId="37D97E12" w:rsidR="005D27CA" w:rsidRDefault="005D27CA" w:rsidP="000152E3">
      <w:r>
        <w:t xml:space="preserve">United States Department of Education. (2018). OCR complaint processing procedures. Retrieved from </w:t>
      </w:r>
      <w:hyperlink r:id="rId12" w:history="1">
        <w:r>
          <w:rPr>
            <w:rStyle w:val="Hyperlink"/>
          </w:rPr>
          <w:t>https://www2.ed.gov/about/offices/list/ocr/complaints-how.html</w:t>
        </w:r>
      </w:hyperlink>
    </w:p>
    <w:p w14:paraId="3246EC07" w14:textId="77777777" w:rsidR="00F610DC" w:rsidRDefault="00F610DC" w:rsidP="00F610DC">
      <w:pPr>
        <w:spacing w:after="160" w:line="259" w:lineRule="auto"/>
      </w:pPr>
      <w:r>
        <w:br w:type="page"/>
      </w:r>
    </w:p>
    <w:p w14:paraId="65D62233" w14:textId="5E21D686" w:rsidR="00F610DC" w:rsidRPr="006A05D9" w:rsidRDefault="006A05D9" w:rsidP="006A05D9">
      <w:pPr>
        <w:spacing w:after="160" w:line="259" w:lineRule="auto"/>
        <w:jc w:val="center"/>
        <w:rPr>
          <w:rStyle w:val="Emphasis"/>
          <w:rFonts w:asciiTheme="minorHAnsi" w:hAnsiTheme="minorHAnsi" w:cstheme="minorHAnsi"/>
          <w:b/>
          <w:bCs/>
          <w:i w:val="0"/>
          <w:sz w:val="24"/>
          <w:szCs w:val="24"/>
        </w:rPr>
      </w:pPr>
      <w:r w:rsidRPr="006A05D9">
        <w:rPr>
          <w:rStyle w:val="Emphasis"/>
          <w:rFonts w:asciiTheme="minorHAnsi" w:hAnsiTheme="minorHAnsi" w:cstheme="minorHAnsi"/>
          <w:b/>
          <w:bCs/>
          <w:i w:val="0"/>
          <w:sz w:val="24"/>
          <w:szCs w:val="24"/>
        </w:rPr>
        <w:lastRenderedPageBreak/>
        <w:t>Cases Ruled in Favor of Student</w:t>
      </w:r>
    </w:p>
    <w:p w14:paraId="1EF89842" w14:textId="61ADA863" w:rsidR="00F610DC" w:rsidRPr="00F610DC" w:rsidRDefault="00F610DC" w:rsidP="00F610DC">
      <w:pPr>
        <w:spacing w:after="160" w:line="259" w:lineRule="auto"/>
        <w:rPr>
          <w:rFonts w:asciiTheme="minorHAnsi" w:hAnsiTheme="minorHAnsi" w:cstheme="minorHAnsi"/>
          <w:sz w:val="24"/>
          <w:szCs w:val="24"/>
        </w:rPr>
      </w:pPr>
      <w:r w:rsidRPr="006A05D9">
        <w:rPr>
          <w:rStyle w:val="Emphasis"/>
          <w:rFonts w:asciiTheme="minorHAnsi" w:hAnsiTheme="minorHAnsi" w:cstheme="minorHAnsi"/>
          <w:bCs/>
          <w:sz w:val="24"/>
          <w:szCs w:val="24"/>
        </w:rPr>
        <w:t>Featherstone v. Pacific Northwest University of Health Sciences</w:t>
      </w:r>
      <w:r w:rsidR="006A05D9" w:rsidRPr="006A05D9">
        <w:rPr>
          <w:rStyle w:val="Emphasis"/>
          <w:rFonts w:asciiTheme="minorHAnsi" w:hAnsiTheme="minorHAnsi" w:cstheme="minorHAnsi"/>
          <w:b/>
          <w:bCs/>
          <w:sz w:val="24"/>
          <w:szCs w:val="24"/>
        </w:rPr>
        <w:t xml:space="preserve"> </w:t>
      </w:r>
      <w:r w:rsidR="006A05D9">
        <w:rPr>
          <w:rStyle w:val="Emphasis"/>
          <w:rFonts w:asciiTheme="minorHAnsi" w:hAnsiTheme="minorHAnsi" w:cstheme="minorHAnsi"/>
          <w:bCs/>
          <w:i w:val="0"/>
          <w:color w:val="724128"/>
          <w:sz w:val="24"/>
          <w:szCs w:val="24"/>
        </w:rPr>
        <w:t>(</w:t>
      </w:r>
      <w:hyperlink r:id="rId13" w:history="1">
        <w:r w:rsidR="006A05D9" w:rsidRPr="006A05D9">
          <w:rPr>
            <w:rStyle w:val="Hyperlink"/>
            <w:rFonts w:asciiTheme="minorHAnsi" w:hAnsiTheme="minorHAnsi" w:cstheme="minorHAnsi"/>
            <w:bCs/>
            <w:sz w:val="24"/>
            <w:szCs w:val="24"/>
          </w:rPr>
          <w:t>Lipton,2017</w:t>
        </w:r>
      </w:hyperlink>
      <w:r w:rsidR="006A05D9">
        <w:rPr>
          <w:rStyle w:val="Emphasis"/>
          <w:rFonts w:asciiTheme="minorHAnsi" w:hAnsiTheme="minorHAnsi" w:cstheme="minorHAnsi"/>
          <w:bCs/>
          <w:i w:val="0"/>
          <w:color w:val="724128"/>
          <w:sz w:val="24"/>
          <w:szCs w:val="24"/>
        </w:rPr>
        <w:t>)</w:t>
      </w:r>
    </w:p>
    <w:p w14:paraId="41F5EFD2" w14:textId="77777777" w:rsidR="00F610DC" w:rsidRPr="00F610DC" w:rsidRDefault="00F610DC" w:rsidP="00F610DC">
      <w:pPr>
        <w:pStyle w:val="p"/>
        <w:shd w:val="clear" w:color="auto" w:fill="FFFFFF"/>
        <w:spacing w:before="166" w:beforeAutospacing="0" w:after="166" w:afterAutospacing="0"/>
        <w:rPr>
          <w:rFonts w:asciiTheme="minorHAnsi" w:hAnsiTheme="minorHAnsi" w:cstheme="minorHAnsi"/>
          <w:color w:val="000000"/>
        </w:rPr>
      </w:pPr>
      <w:r w:rsidRPr="00F610DC">
        <w:rPr>
          <w:rFonts w:asciiTheme="minorHAnsi" w:hAnsiTheme="minorHAnsi" w:cstheme="minorHAnsi"/>
          <w:color w:val="000000"/>
        </w:rPr>
        <w:t>A recent case that illustrates the importance of considering technological advances when determining whether students are otherwise qualified is </w:t>
      </w:r>
      <w:r w:rsidRPr="00F610DC">
        <w:rPr>
          <w:rStyle w:val="Emphasis"/>
          <w:rFonts w:asciiTheme="minorHAnsi" w:hAnsiTheme="minorHAnsi" w:cstheme="minorHAnsi"/>
          <w:color w:val="000000"/>
        </w:rPr>
        <w:t xml:space="preserve">Featherstone v. Pacific Northwest University of Health </w:t>
      </w:r>
      <w:proofErr w:type="gramStart"/>
      <w:r w:rsidRPr="00F610DC">
        <w:rPr>
          <w:rStyle w:val="Emphasis"/>
          <w:rFonts w:asciiTheme="minorHAnsi" w:hAnsiTheme="minorHAnsi" w:cstheme="minorHAnsi"/>
          <w:color w:val="000000"/>
        </w:rPr>
        <w:t>Sciences</w:t>
      </w:r>
      <w:r w:rsidRPr="00F610DC">
        <w:rPr>
          <w:rFonts w:asciiTheme="minorHAnsi" w:hAnsiTheme="minorHAnsi" w:cstheme="minorHAnsi"/>
          <w:color w:val="000000"/>
        </w:rPr>
        <w:t>(</w:t>
      </w:r>
      <w:proofErr w:type="gramEnd"/>
      <w:r w:rsidRPr="00F610DC">
        <w:rPr>
          <w:rFonts w:asciiTheme="minorHAnsi" w:hAnsiTheme="minorHAnsi" w:cstheme="minorHAnsi"/>
          <w:color w:val="000000"/>
        </w:rPr>
        <w:t>No. 1:CV-14-3084-SMJ [E.D. Wash. 2014]). In this case</w:t>
      </w:r>
      <w:r w:rsidRPr="00F610DC">
        <w:rPr>
          <w:rStyle w:val="Emphasis"/>
          <w:rFonts w:asciiTheme="minorHAnsi" w:hAnsiTheme="minorHAnsi" w:cstheme="minorHAnsi"/>
          <w:color w:val="000000"/>
        </w:rPr>
        <w:t>,</w:t>
      </w:r>
      <w:r w:rsidRPr="00F610DC">
        <w:rPr>
          <w:rFonts w:asciiTheme="minorHAnsi" w:hAnsiTheme="minorHAnsi" w:cstheme="minorHAnsi"/>
          <w:color w:val="000000"/>
        </w:rPr>
        <w:t> Zachary Featherstone, who was deaf and unable to lip-read in educational settings, was initially accepted into the osteopathic medicine program at Pacific Northwest University (PNWU).</w:t>
      </w:r>
      <w:hyperlink r:id="rId14" w:anchor="B30" w:history="1">
        <w:r w:rsidRPr="00F610DC">
          <w:rPr>
            <w:rStyle w:val="Hyperlink"/>
            <w:rFonts w:asciiTheme="minorHAnsi" w:hAnsiTheme="minorHAnsi" w:cstheme="minorHAnsi"/>
            <w:color w:val="642A8F"/>
            <w:vertAlign w:val="superscript"/>
          </w:rPr>
          <w:t>30</w:t>
        </w:r>
      </w:hyperlink>
      <w:r w:rsidRPr="00F610DC">
        <w:rPr>
          <w:rFonts w:asciiTheme="minorHAnsi" w:hAnsiTheme="minorHAnsi" w:cstheme="minorHAnsi"/>
          <w:color w:val="000000"/>
        </w:rPr>
        <w:t> The university then requested that Featherstone postpone matriculation for a year to allow it to obtain disability services to assist him. Featherstone agreed to the postponement and PNWU subsequently withdrew Featherstone’s application, citing concerns for patient safety in clinical settings, compromised educational experiences for Featherstone’s classmates, and the university’s anticipation that Featherstone would be unable to meet time requirements during performance examinations.</w:t>
      </w:r>
      <w:hyperlink r:id="rId15" w:anchor="B31" w:history="1">
        <w:r w:rsidRPr="00F610DC">
          <w:rPr>
            <w:rStyle w:val="Hyperlink"/>
            <w:rFonts w:asciiTheme="minorHAnsi" w:hAnsiTheme="minorHAnsi" w:cstheme="minorHAnsi"/>
            <w:color w:val="642A8F"/>
            <w:vertAlign w:val="superscript"/>
          </w:rPr>
          <w:t>31</w:t>
        </w:r>
      </w:hyperlink>
    </w:p>
    <w:p w14:paraId="12FE2EF2" w14:textId="77777777" w:rsidR="00F610DC" w:rsidRPr="00F610DC" w:rsidRDefault="00F610DC" w:rsidP="00F610DC">
      <w:pPr>
        <w:pStyle w:val="NormalWeb"/>
        <w:shd w:val="clear" w:color="auto" w:fill="FFFFFF"/>
        <w:spacing w:before="166" w:beforeAutospacing="0" w:after="166" w:afterAutospacing="0"/>
        <w:rPr>
          <w:rFonts w:asciiTheme="minorHAnsi" w:hAnsiTheme="minorHAnsi" w:cstheme="minorHAnsi"/>
          <w:color w:val="000000"/>
        </w:rPr>
      </w:pPr>
      <w:r w:rsidRPr="00F610DC">
        <w:rPr>
          <w:rFonts w:asciiTheme="minorHAnsi" w:hAnsiTheme="minorHAnsi" w:cstheme="minorHAnsi"/>
          <w:color w:val="000000"/>
        </w:rPr>
        <w:t>Featherstone responded by filing suit in Federal District Court where he sought to obtain a preliminary injunction to require PNWU to allow him to matriculate with his class. Featherstone’s suit included allegations that PNWU violated Title III of the ADA, Section 504 of the Rehabilitation Act, Washington’s Law Against Discrimination, and nondiscrimination-based claims of breach of contract and promissory estoppel.</w:t>
      </w:r>
      <w:hyperlink r:id="rId16" w:anchor="B31" w:history="1">
        <w:r w:rsidRPr="00F610DC">
          <w:rPr>
            <w:rStyle w:val="Hyperlink"/>
            <w:rFonts w:asciiTheme="minorHAnsi" w:hAnsiTheme="minorHAnsi" w:cstheme="minorHAnsi"/>
            <w:color w:val="642A8F"/>
            <w:vertAlign w:val="superscript"/>
          </w:rPr>
          <w:t>31</w:t>
        </w:r>
      </w:hyperlink>
    </w:p>
    <w:p w14:paraId="3C5BC3B8" w14:textId="77777777" w:rsidR="00F610DC" w:rsidRPr="00F610DC" w:rsidRDefault="00F610DC" w:rsidP="00F610DC">
      <w:pPr>
        <w:pStyle w:val="NormalWeb"/>
        <w:shd w:val="clear" w:color="auto" w:fill="FFFFFF"/>
        <w:spacing w:before="166" w:beforeAutospacing="0" w:after="166" w:afterAutospacing="0"/>
        <w:rPr>
          <w:rFonts w:asciiTheme="minorHAnsi" w:hAnsiTheme="minorHAnsi" w:cstheme="minorHAnsi"/>
          <w:color w:val="000000"/>
        </w:rPr>
      </w:pPr>
      <w:r w:rsidRPr="00F610DC">
        <w:rPr>
          <w:rFonts w:asciiTheme="minorHAnsi" w:hAnsiTheme="minorHAnsi" w:cstheme="minorHAnsi"/>
          <w:color w:val="000000"/>
        </w:rPr>
        <w:t>The accommodations that Featherstone had requested of PNWU included interpreters for clinical settings and captioning services for classroom environments.</w:t>
      </w:r>
      <w:hyperlink r:id="rId17" w:anchor="B31" w:history="1">
        <w:r w:rsidRPr="00F610DC">
          <w:rPr>
            <w:rStyle w:val="Hyperlink"/>
            <w:rFonts w:asciiTheme="minorHAnsi" w:hAnsiTheme="minorHAnsi" w:cstheme="minorHAnsi"/>
            <w:color w:val="642A8F"/>
            <w:vertAlign w:val="superscript"/>
          </w:rPr>
          <w:t>31</w:t>
        </w:r>
      </w:hyperlink>
      <w:r w:rsidRPr="00F610DC">
        <w:rPr>
          <w:rFonts w:asciiTheme="minorHAnsi" w:hAnsiTheme="minorHAnsi" w:cstheme="minorHAnsi"/>
          <w:color w:val="000000"/>
        </w:rPr>
        <w:t> While there is certainly a cost associated with the provision of such services, the regulations implementing Title III of the ADA specifically prohibit a person with a disability from being excluded because of the absence of auxiliary aids and services. Examples of the auxiliary aids and services set forth in the regulation include both “qualified interpreters” and numerous types of captioning services.</w:t>
      </w:r>
      <w:hyperlink r:id="rId18" w:anchor="B31" w:history="1">
        <w:r w:rsidRPr="00F610DC">
          <w:rPr>
            <w:rStyle w:val="Hyperlink"/>
            <w:rFonts w:asciiTheme="minorHAnsi" w:hAnsiTheme="minorHAnsi" w:cstheme="minorHAnsi"/>
            <w:color w:val="642A8F"/>
            <w:vertAlign w:val="superscript"/>
          </w:rPr>
          <w:t>31</w:t>
        </w:r>
      </w:hyperlink>
      <w:r w:rsidRPr="00F610DC">
        <w:rPr>
          <w:rFonts w:asciiTheme="minorHAnsi" w:hAnsiTheme="minorHAnsi" w:cstheme="minorHAnsi"/>
          <w:color w:val="000000"/>
        </w:rPr>
        <w:t> The Federal District Court noted that it was quite common for these services to be provided in educational environments and that Featherstone could produce evidence that he was otherwise qualified with reasonable accommodations.</w:t>
      </w:r>
      <w:hyperlink r:id="rId19" w:anchor="B31" w:history="1">
        <w:r w:rsidRPr="00F610DC">
          <w:rPr>
            <w:rStyle w:val="Hyperlink"/>
            <w:rFonts w:asciiTheme="minorHAnsi" w:hAnsiTheme="minorHAnsi" w:cstheme="minorHAnsi"/>
            <w:color w:val="642A8F"/>
            <w:vertAlign w:val="superscript"/>
          </w:rPr>
          <w:t>31</w:t>
        </w:r>
      </w:hyperlink>
    </w:p>
    <w:p w14:paraId="27704076" w14:textId="77777777" w:rsidR="00F610DC" w:rsidRPr="00F610DC" w:rsidRDefault="00F610DC" w:rsidP="00F610DC">
      <w:pPr>
        <w:pStyle w:val="NormalWeb"/>
        <w:shd w:val="clear" w:color="auto" w:fill="FFFFFF"/>
        <w:spacing w:before="166" w:beforeAutospacing="0" w:after="166" w:afterAutospacing="0"/>
        <w:rPr>
          <w:rFonts w:asciiTheme="minorHAnsi" w:hAnsiTheme="minorHAnsi" w:cstheme="minorHAnsi"/>
          <w:color w:val="000000"/>
        </w:rPr>
      </w:pPr>
      <w:r w:rsidRPr="00F610DC">
        <w:rPr>
          <w:rFonts w:asciiTheme="minorHAnsi" w:hAnsiTheme="minorHAnsi" w:cstheme="minorHAnsi"/>
          <w:color w:val="000000"/>
        </w:rPr>
        <w:t>Once Featherstone met his burden of showing that he was otherwise qualified with reasonable accommodations, PNWU attempted to argue that the accommodations would require a fundamental alteration in their program, be cost prohibitive, and risk patient safety. The Federal District Court determined that the provision of an interpreter would only amount to a communication aid and that since Featherstone would still have to complete laboratory sessions, communicate with patients (through an interpreter), and finish the clinical portions of the program, the provision of an interpreter would not fundamentally alter the program. The court also found PNWU’s claim of limited resources was unsubstantiated as sworn declarations were submitted indicating that interpreting services could be available by the beginning of the school term.</w:t>
      </w:r>
      <w:hyperlink r:id="rId20" w:anchor="B31" w:history="1">
        <w:r w:rsidRPr="00F610DC">
          <w:rPr>
            <w:rStyle w:val="Hyperlink"/>
            <w:rFonts w:asciiTheme="minorHAnsi" w:hAnsiTheme="minorHAnsi" w:cstheme="minorHAnsi"/>
            <w:color w:val="642A8F"/>
            <w:vertAlign w:val="superscript"/>
          </w:rPr>
          <w:t>31</w:t>
        </w:r>
      </w:hyperlink>
    </w:p>
    <w:p w14:paraId="1865C7CF" w14:textId="77777777" w:rsidR="00F610DC" w:rsidRPr="00F610DC" w:rsidRDefault="00F610DC" w:rsidP="00F610DC">
      <w:pPr>
        <w:pStyle w:val="NormalWeb"/>
        <w:shd w:val="clear" w:color="auto" w:fill="FFFFFF"/>
        <w:spacing w:before="166" w:beforeAutospacing="0" w:after="166" w:afterAutospacing="0"/>
        <w:rPr>
          <w:rFonts w:asciiTheme="minorHAnsi" w:hAnsiTheme="minorHAnsi" w:cstheme="minorHAnsi"/>
          <w:color w:val="000000"/>
        </w:rPr>
      </w:pPr>
      <w:r w:rsidRPr="00F610DC">
        <w:rPr>
          <w:rFonts w:asciiTheme="minorHAnsi" w:hAnsiTheme="minorHAnsi" w:cstheme="minorHAnsi"/>
          <w:color w:val="000000"/>
        </w:rPr>
        <w:t xml:space="preserve">Lastly, the Federal District Court noted that any facility where Featherstone might need to treat a patient would also be required to have sign language interpreting available for patients who might need the service, thereby attenuating the risk of patient harm due to Featherstone’s </w:t>
      </w:r>
      <w:r w:rsidRPr="00F610DC">
        <w:rPr>
          <w:rFonts w:asciiTheme="minorHAnsi" w:hAnsiTheme="minorHAnsi" w:cstheme="minorHAnsi"/>
          <w:color w:val="000000"/>
        </w:rPr>
        <w:lastRenderedPageBreak/>
        <w:t>disability. The court ruled that PNWU failed to establish that it was likely to succeed in proving that the provision of an interpreter and closed captioning would fundamentally alter the educational environment or impose an undue burden on PNWU and ordered PNWU to “immediately re-enroll Featherstone into its 2014-15 class at the College of Osteopathic Medicine.”</w:t>
      </w:r>
      <w:hyperlink r:id="rId21" w:anchor="B31" w:history="1">
        <w:r w:rsidRPr="00F610DC">
          <w:rPr>
            <w:rStyle w:val="Hyperlink"/>
            <w:rFonts w:asciiTheme="minorHAnsi" w:hAnsiTheme="minorHAnsi" w:cstheme="minorHAnsi"/>
            <w:color w:val="642A8F"/>
            <w:vertAlign w:val="superscript"/>
          </w:rPr>
          <w:t>31</w:t>
        </w:r>
      </w:hyperlink>
    </w:p>
    <w:p w14:paraId="13AF1AFB" w14:textId="77777777" w:rsidR="00F610DC" w:rsidRPr="00F610DC" w:rsidRDefault="00F610DC" w:rsidP="00F610DC">
      <w:pPr>
        <w:pStyle w:val="p"/>
        <w:shd w:val="clear" w:color="auto" w:fill="FFFFFF"/>
        <w:spacing w:before="166" w:beforeAutospacing="0" w:after="166" w:afterAutospacing="0"/>
        <w:rPr>
          <w:rFonts w:asciiTheme="minorHAnsi" w:hAnsiTheme="minorHAnsi" w:cstheme="minorHAnsi"/>
          <w:color w:val="000000"/>
        </w:rPr>
      </w:pPr>
      <w:r w:rsidRPr="00F610DC">
        <w:rPr>
          <w:rFonts w:asciiTheme="minorHAnsi" w:hAnsiTheme="minorHAnsi" w:cstheme="minorHAnsi"/>
          <w:color w:val="000000"/>
        </w:rPr>
        <w:t xml:space="preserve">The decision in Featherstone is starkly different from the one reached by the US Supreme Court in the 1979 case involving Southeastern Community College and demonstrates how the law changes along with societal norms, resources, and technology. The case law is surprisingly </w:t>
      </w:r>
      <w:proofErr w:type="gramStart"/>
      <w:r w:rsidRPr="00F610DC">
        <w:rPr>
          <w:rFonts w:asciiTheme="minorHAnsi" w:hAnsiTheme="minorHAnsi" w:cstheme="minorHAnsi"/>
          <w:color w:val="000000"/>
        </w:rPr>
        <w:t>sparse</w:t>
      </w:r>
      <w:proofErr w:type="gramEnd"/>
      <w:r w:rsidRPr="00F610DC">
        <w:rPr>
          <w:rFonts w:asciiTheme="minorHAnsi" w:hAnsiTheme="minorHAnsi" w:cstheme="minorHAnsi"/>
          <w:color w:val="000000"/>
        </w:rPr>
        <w:t xml:space="preserve"> and few cases address the issue of the provision of technology in the educational setting. This may be attributable to institutions’ compliance with the regulations and to the early involvement of informed disability attorneys who promptly negotiate resolutions in these matters without the need for court intervention. Either way, schools of pharmacy must make themselves aware of the current technology available when making determinations concerning an applicant’s ability to meet technical standards. Because the Featherstone case was a US District Court case, any precedential value it has is limited to the Eastern District of Washington State and would not be binding even on that court. However, the opinion is well based in existing law and should be persuasive to other courts addressing this issue</w:t>
      </w:r>
    </w:p>
    <w:p w14:paraId="48C7469E" w14:textId="77777777" w:rsidR="00F610DC" w:rsidRPr="00F610DC" w:rsidRDefault="00F610DC" w:rsidP="000152E3">
      <w:pPr>
        <w:rPr>
          <w:rFonts w:asciiTheme="minorHAnsi" w:hAnsiTheme="minorHAnsi" w:cstheme="minorHAnsi"/>
          <w:sz w:val="24"/>
          <w:szCs w:val="24"/>
        </w:rPr>
      </w:pPr>
    </w:p>
    <w:sectPr w:rsidR="00F610DC" w:rsidRPr="00F610D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EF7A" w14:textId="77777777" w:rsidR="00A62E7B" w:rsidRDefault="00A62E7B" w:rsidP="00A62E7B">
      <w:r>
        <w:separator/>
      </w:r>
    </w:p>
  </w:endnote>
  <w:endnote w:type="continuationSeparator" w:id="0">
    <w:p w14:paraId="020EACDD" w14:textId="77777777" w:rsidR="00A62E7B" w:rsidRDefault="00A62E7B" w:rsidP="00A6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9C8C" w14:textId="77777777" w:rsidR="00A62E7B" w:rsidRDefault="00A62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B5D5" w14:textId="77777777" w:rsidR="00A62E7B" w:rsidRDefault="00A62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1541" w14:textId="77777777" w:rsidR="00A62E7B" w:rsidRDefault="00A62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E2C3" w14:textId="77777777" w:rsidR="00A62E7B" w:rsidRDefault="00A62E7B" w:rsidP="00A62E7B">
      <w:r>
        <w:separator/>
      </w:r>
    </w:p>
  </w:footnote>
  <w:footnote w:type="continuationSeparator" w:id="0">
    <w:p w14:paraId="4C3E2BD8" w14:textId="77777777" w:rsidR="00A62E7B" w:rsidRDefault="00A62E7B" w:rsidP="00A6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09BA" w14:textId="77777777" w:rsidR="00A62E7B" w:rsidRDefault="00A62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2B00" w14:textId="0D2D83DC" w:rsidR="00A62E7B" w:rsidRDefault="00A62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9E6B" w14:textId="77777777" w:rsidR="00A62E7B" w:rsidRDefault="00A6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64378"/>
    <w:multiLevelType w:val="hybridMultilevel"/>
    <w:tmpl w:val="4E184DEC"/>
    <w:lvl w:ilvl="0" w:tplc="D4B812B6">
      <w:start w:val="1"/>
      <w:numFmt w:val="bullet"/>
      <w:lvlText w:val="•"/>
      <w:lvlJc w:val="left"/>
      <w:pPr>
        <w:tabs>
          <w:tab w:val="num" w:pos="720"/>
        </w:tabs>
        <w:ind w:left="720" w:hanging="360"/>
      </w:pPr>
      <w:rPr>
        <w:rFonts w:ascii="Arial" w:hAnsi="Arial" w:hint="default"/>
      </w:rPr>
    </w:lvl>
    <w:lvl w:ilvl="1" w:tplc="38E4DC32" w:tentative="1">
      <w:start w:val="1"/>
      <w:numFmt w:val="bullet"/>
      <w:lvlText w:val="•"/>
      <w:lvlJc w:val="left"/>
      <w:pPr>
        <w:tabs>
          <w:tab w:val="num" w:pos="1440"/>
        </w:tabs>
        <w:ind w:left="1440" w:hanging="360"/>
      </w:pPr>
      <w:rPr>
        <w:rFonts w:ascii="Arial" w:hAnsi="Arial" w:hint="default"/>
      </w:rPr>
    </w:lvl>
    <w:lvl w:ilvl="2" w:tplc="013A50BC" w:tentative="1">
      <w:start w:val="1"/>
      <w:numFmt w:val="bullet"/>
      <w:lvlText w:val="•"/>
      <w:lvlJc w:val="left"/>
      <w:pPr>
        <w:tabs>
          <w:tab w:val="num" w:pos="2160"/>
        </w:tabs>
        <w:ind w:left="2160" w:hanging="360"/>
      </w:pPr>
      <w:rPr>
        <w:rFonts w:ascii="Arial" w:hAnsi="Arial" w:hint="default"/>
      </w:rPr>
    </w:lvl>
    <w:lvl w:ilvl="3" w:tplc="BF50E180" w:tentative="1">
      <w:start w:val="1"/>
      <w:numFmt w:val="bullet"/>
      <w:lvlText w:val="•"/>
      <w:lvlJc w:val="left"/>
      <w:pPr>
        <w:tabs>
          <w:tab w:val="num" w:pos="2880"/>
        </w:tabs>
        <w:ind w:left="2880" w:hanging="360"/>
      </w:pPr>
      <w:rPr>
        <w:rFonts w:ascii="Arial" w:hAnsi="Arial" w:hint="default"/>
      </w:rPr>
    </w:lvl>
    <w:lvl w:ilvl="4" w:tplc="A1420C86" w:tentative="1">
      <w:start w:val="1"/>
      <w:numFmt w:val="bullet"/>
      <w:lvlText w:val="•"/>
      <w:lvlJc w:val="left"/>
      <w:pPr>
        <w:tabs>
          <w:tab w:val="num" w:pos="3600"/>
        </w:tabs>
        <w:ind w:left="3600" w:hanging="360"/>
      </w:pPr>
      <w:rPr>
        <w:rFonts w:ascii="Arial" w:hAnsi="Arial" w:hint="default"/>
      </w:rPr>
    </w:lvl>
    <w:lvl w:ilvl="5" w:tplc="D3749CDA" w:tentative="1">
      <w:start w:val="1"/>
      <w:numFmt w:val="bullet"/>
      <w:lvlText w:val="•"/>
      <w:lvlJc w:val="left"/>
      <w:pPr>
        <w:tabs>
          <w:tab w:val="num" w:pos="4320"/>
        </w:tabs>
        <w:ind w:left="4320" w:hanging="360"/>
      </w:pPr>
      <w:rPr>
        <w:rFonts w:ascii="Arial" w:hAnsi="Arial" w:hint="default"/>
      </w:rPr>
    </w:lvl>
    <w:lvl w:ilvl="6" w:tplc="F7FC2E64" w:tentative="1">
      <w:start w:val="1"/>
      <w:numFmt w:val="bullet"/>
      <w:lvlText w:val="•"/>
      <w:lvlJc w:val="left"/>
      <w:pPr>
        <w:tabs>
          <w:tab w:val="num" w:pos="5040"/>
        </w:tabs>
        <w:ind w:left="5040" w:hanging="360"/>
      </w:pPr>
      <w:rPr>
        <w:rFonts w:ascii="Arial" w:hAnsi="Arial" w:hint="default"/>
      </w:rPr>
    </w:lvl>
    <w:lvl w:ilvl="7" w:tplc="132CD8E0" w:tentative="1">
      <w:start w:val="1"/>
      <w:numFmt w:val="bullet"/>
      <w:lvlText w:val="•"/>
      <w:lvlJc w:val="left"/>
      <w:pPr>
        <w:tabs>
          <w:tab w:val="num" w:pos="5760"/>
        </w:tabs>
        <w:ind w:left="5760" w:hanging="360"/>
      </w:pPr>
      <w:rPr>
        <w:rFonts w:ascii="Arial" w:hAnsi="Arial" w:hint="default"/>
      </w:rPr>
    </w:lvl>
    <w:lvl w:ilvl="8" w:tplc="A9E68A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E57FCB"/>
    <w:multiLevelType w:val="hybridMultilevel"/>
    <w:tmpl w:val="43AE0132"/>
    <w:lvl w:ilvl="0" w:tplc="40EE6196">
      <w:start w:val="1"/>
      <w:numFmt w:val="decimal"/>
      <w:lvlText w:val="%1)"/>
      <w:lvlJc w:val="left"/>
      <w:pPr>
        <w:ind w:left="360" w:hanging="360"/>
      </w:pPr>
      <w:rPr>
        <w:rFonts w:ascii="Calibri" w:eastAsia="Calibr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4D"/>
    <w:rsid w:val="000152E3"/>
    <w:rsid w:val="0006217B"/>
    <w:rsid w:val="00063845"/>
    <w:rsid w:val="000876D7"/>
    <w:rsid w:val="000A083A"/>
    <w:rsid w:val="000A66DB"/>
    <w:rsid w:val="000C5324"/>
    <w:rsid w:val="000E792D"/>
    <w:rsid w:val="000F23F2"/>
    <w:rsid w:val="0015024D"/>
    <w:rsid w:val="00154749"/>
    <w:rsid w:val="00214093"/>
    <w:rsid w:val="00234504"/>
    <w:rsid w:val="002565D3"/>
    <w:rsid w:val="002C7E0D"/>
    <w:rsid w:val="002D2F1D"/>
    <w:rsid w:val="002E1163"/>
    <w:rsid w:val="002F130C"/>
    <w:rsid w:val="003419A1"/>
    <w:rsid w:val="00361ED6"/>
    <w:rsid w:val="00381653"/>
    <w:rsid w:val="003A53D5"/>
    <w:rsid w:val="003B3AEA"/>
    <w:rsid w:val="003F1FCB"/>
    <w:rsid w:val="004012A9"/>
    <w:rsid w:val="0042367C"/>
    <w:rsid w:val="004376D8"/>
    <w:rsid w:val="00440EE9"/>
    <w:rsid w:val="00460E23"/>
    <w:rsid w:val="004621AC"/>
    <w:rsid w:val="004650AC"/>
    <w:rsid w:val="00465A14"/>
    <w:rsid w:val="00492353"/>
    <w:rsid w:val="004B12F0"/>
    <w:rsid w:val="004D08B2"/>
    <w:rsid w:val="004D4A3D"/>
    <w:rsid w:val="00503D87"/>
    <w:rsid w:val="00511DFE"/>
    <w:rsid w:val="00516C74"/>
    <w:rsid w:val="005807B9"/>
    <w:rsid w:val="00581508"/>
    <w:rsid w:val="005B6D99"/>
    <w:rsid w:val="005C1F3A"/>
    <w:rsid w:val="005C2AE8"/>
    <w:rsid w:val="005C6195"/>
    <w:rsid w:val="005D112C"/>
    <w:rsid w:val="005D27CA"/>
    <w:rsid w:val="005D6D86"/>
    <w:rsid w:val="005E17B4"/>
    <w:rsid w:val="005F1BBE"/>
    <w:rsid w:val="005F5B0D"/>
    <w:rsid w:val="0060401B"/>
    <w:rsid w:val="00640B81"/>
    <w:rsid w:val="00657C6C"/>
    <w:rsid w:val="006662DE"/>
    <w:rsid w:val="0067381E"/>
    <w:rsid w:val="006A05D9"/>
    <w:rsid w:val="006A1849"/>
    <w:rsid w:val="006C5CCD"/>
    <w:rsid w:val="006C666E"/>
    <w:rsid w:val="006E0522"/>
    <w:rsid w:val="006E3CBD"/>
    <w:rsid w:val="007E216F"/>
    <w:rsid w:val="007F7D25"/>
    <w:rsid w:val="008A3220"/>
    <w:rsid w:val="008A419F"/>
    <w:rsid w:val="008B1473"/>
    <w:rsid w:val="008B309A"/>
    <w:rsid w:val="008B6111"/>
    <w:rsid w:val="008C42E7"/>
    <w:rsid w:val="008C5B40"/>
    <w:rsid w:val="008C5E9C"/>
    <w:rsid w:val="008D34EE"/>
    <w:rsid w:val="008F02AB"/>
    <w:rsid w:val="008F7367"/>
    <w:rsid w:val="00900D7B"/>
    <w:rsid w:val="00901198"/>
    <w:rsid w:val="00936818"/>
    <w:rsid w:val="00972355"/>
    <w:rsid w:val="0097456C"/>
    <w:rsid w:val="00A2040F"/>
    <w:rsid w:val="00A26B7B"/>
    <w:rsid w:val="00A62E7B"/>
    <w:rsid w:val="00AD63A7"/>
    <w:rsid w:val="00B82939"/>
    <w:rsid w:val="00B92415"/>
    <w:rsid w:val="00B9578C"/>
    <w:rsid w:val="00BF2E3D"/>
    <w:rsid w:val="00C13FB7"/>
    <w:rsid w:val="00C22B98"/>
    <w:rsid w:val="00C76F50"/>
    <w:rsid w:val="00CA606D"/>
    <w:rsid w:val="00D31374"/>
    <w:rsid w:val="00D4026E"/>
    <w:rsid w:val="00D516F9"/>
    <w:rsid w:val="00D926CD"/>
    <w:rsid w:val="00D95945"/>
    <w:rsid w:val="00DC5DFC"/>
    <w:rsid w:val="00DE63DB"/>
    <w:rsid w:val="00E1410C"/>
    <w:rsid w:val="00E733D6"/>
    <w:rsid w:val="00E76102"/>
    <w:rsid w:val="00E946A0"/>
    <w:rsid w:val="00EA7DBB"/>
    <w:rsid w:val="00ED697B"/>
    <w:rsid w:val="00F07867"/>
    <w:rsid w:val="00F21BD6"/>
    <w:rsid w:val="00F610DC"/>
    <w:rsid w:val="00F712D3"/>
    <w:rsid w:val="00F83FEE"/>
    <w:rsid w:val="00FF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2C15D"/>
  <w15:chartTrackingRefBased/>
  <w15:docId w15:val="{A6CA940E-3098-4621-BD66-C200795D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4D"/>
    <w:pPr>
      <w:spacing w:after="0" w:line="240" w:lineRule="auto"/>
    </w:pPr>
    <w:rPr>
      <w:rFonts w:ascii="Calibri" w:hAnsi="Calibri" w:cs="Calibri"/>
    </w:rPr>
  </w:style>
  <w:style w:type="paragraph" w:styleId="Heading1">
    <w:name w:val="heading 1"/>
    <w:basedOn w:val="Normal"/>
    <w:next w:val="Normal"/>
    <w:link w:val="Heading1Char"/>
    <w:uiPriority w:val="9"/>
    <w:qFormat/>
    <w:rsid w:val="000A66DB"/>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1DFE"/>
    <w:pPr>
      <w:keepNext/>
      <w:keepLines/>
      <w:spacing w:before="40"/>
      <w:jc w:val="center"/>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610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46A0"/>
    <w:rPr>
      <w:i/>
      <w:iCs/>
    </w:rPr>
  </w:style>
  <w:style w:type="character" w:styleId="Hyperlink">
    <w:name w:val="Hyperlink"/>
    <w:basedOn w:val="DefaultParagraphFont"/>
    <w:uiPriority w:val="99"/>
    <w:unhideWhenUsed/>
    <w:rsid w:val="00E946A0"/>
    <w:rPr>
      <w:color w:val="0563C1" w:themeColor="hyperlink"/>
      <w:u w:val="single"/>
    </w:rPr>
  </w:style>
  <w:style w:type="character" w:styleId="UnresolvedMention">
    <w:name w:val="Unresolved Mention"/>
    <w:basedOn w:val="DefaultParagraphFont"/>
    <w:uiPriority w:val="99"/>
    <w:semiHidden/>
    <w:unhideWhenUsed/>
    <w:rsid w:val="00E946A0"/>
    <w:rPr>
      <w:color w:val="605E5C"/>
      <w:shd w:val="clear" w:color="auto" w:fill="E1DFDD"/>
    </w:rPr>
  </w:style>
  <w:style w:type="paragraph" w:styleId="NormalWeb">
    <w:name w:val="Normal (Web)"/>
    <w:basedOn w:val="Normal"/>
    <w:uiPriority w:val="99"/>
    <w:semiHidden/>
    <w:unhideWhenUsed/>
    <w:rsid w:val="00E946A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2E7B"/>
    <w:pPr>
      <w:tabs>
        <w:tab w:val="center" w:pos="4680"/>
        <w:tab w:val="right" w:pos="9360"/>
      </w:tabs>
    </w:pPr>
  </w:style>
  <w:style w:type="character" w:customStyle="1" w:styleId="HeaderChar">
    <w:name w:val="Header Char"/>
    <w:basedOn w:val="DefaultParagraphFont"/>
    <w:link w:val="Header"/>
    <w:uiPriority w:val="99"/>
    <w:rsid w:val="00A62E7B"/>
    <w:rPr>
      <w:rFonts w:ascii="Calibri" w:hAnsi="Calibri" w:cs="Calibri"/>
    </w:rPr>
  </w:style>
  <w:style w:type="paragraph" w:styleId="Footer">
    <w:name w:val="footer"/>
    <w:basedOn w:val="Normal"/>
    <w:link w:val="FooterChar"/>
    <w:uiPriority w:val="99"/>
    <w:unhideWhenUsed/>
    <w:rsid w:val="00A62E7B"/>
    <w:pPr>
      <w:tabs>
        <w:tab w:val="center" w:pos="4680"/>
        <w:tab w:val="right" w:pos="9360"/>
      </w:tabs>
    </w:pPr>
  </w:style>
  <w:style w:type="character" w:customStyle="1" w:styleId="FooterChar">
    <w:name w:val="Footer Char"/>
    <w:basedOn w:val="DefaultParagraphFont"/>
    <w:link w:val="Footer"/>
    <w:uiPriority w:val="99"/>
    <w:rsid w:val="00A62E7B"/>
    <w:rPr>
      <w:rFonts w:ascii="Calibri" w:hAnsi="Calibri" w:cs="Calibri"/>
    </w:rPr>
  </w:style>
  <w:style w:type="character" w:customStyle="1" w:styleId="Heading3Char">
    <w:name w:val="Heading 3 Char"/>
    <w:basedOn w:val="DefaultParagraphFont"/>
    <w:link w:val="Heading3"/>
    <w:uiPriority w:val="9"/>
    <w:rsid w:val="00F610DC"/>
    <w:rPr>
      <w:rFonts w:ascii="Times New Roman" w:eastAsia="Times New Roman" w:hAnsi="Times New Roman" w:cs="Times New Roman"/>
      <w:b/>
      <w:bCs/>
      <w:sz w:val="27"/>
      <w:szCs w:val="27"/>
    </w:rPr>
  </w:style>
  <w:style w:type="paragraph" w:customStyle="1" w:styleId="p">
    <w:name w:val="p"/>
    <w:basedOn w:val="Normal"/>
    <w:rsid w:val="00F610D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2355"/>
    <w:rPr>
      <w:color w:val="954F72" w:themeColor="followedHyperlink"/>
      <w:u w:val="single"/>
    </w:rPr>
  </w:style>
  <w:style w:type="table" w:styleId="TableGrid">
    <w:name w:val="Table Grid"/>
    <w:basedOn w:val="TableNormal"/>
    <w:uiPriority w:val="39"/>
    <w:rsid w:val="008D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95"/>
    <w:rPr>
      <w:rFonts w:ascii="Segoe UI" w:hAnsi="Segoe UI" w:cs="Segoe UI"/>
      <w:sz w:val="18"/>
      <w:szCs w:val="18"/>
    </w:rPr>
  </w:style>
  <w:style w:type="paragraph" w:styleId="ListParagraph">
    <w:name w:val="List Paragraph"/>
    <w:basedOn w:val="Normal"/>
    <w:uiPriority w:val="34"/>
    <w:qFormat/>
    <w:rsid w:val="0006217B"/>
    <w:pPr>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6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1D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3527">
      <w:bodyDiv w:val="1"/>
      <w:marLeft w:val="0"/>
      <w:marRight w:val="0"/>
      <w:marTop w:val="0"/>
      <w:marBottom w:val="0"/>
      <w:divBdr>
        <w:top w:val="none" w:sz="0" w:space="0" w:color="auto"/>
        <w:left w:val="none" w:sz="0" w:space="0" w:color="auto"/>
        <w:bottom w:val="none" w:sz="0" w:space="0" w:color="auto"/>
        <w:right w:val="none" w:sz="0" w:space="0" w:color="auto"/>
      </w:divBdr>
    </w:div>
    <w:div w:id="934096007">
      <w:bodyDiv w:val="1"/>
      <w:marLeft w:val="0"/>
      <w:marRight w:val="0"/>
      <w:marTop w:val="0"/>
      <w:marBottom w:val="0"/>
      <w:divBdr>
        <w:top w:val="none" w:sz="0" w:space="0" w:color="auto"/>
        <w:left w:val="none" w:sz="0" w:space="0" w:color="auto"/>
        <w:bottom w:val="none" w:sz="0" w:space="0" w:color="auto"/>
        <w:right w:val="none" w:sz="0" w:space="0" w:color="auto"/>
      </w:divBdr>
      <w:divsChild>
        <w:div w:id="1713309859">
          <w:marLeft w:val="360"/>
          <w:marRight w:val="0"/>
          <w:marTop w:val="200"/>
          <w:marBottom w:val="0"/>
          <w:divBdr>
            <w:top w:val="none" w:sz="0" w:space="0" w:color="auto"/>
            <w:left w:val="none" w:sz="0" w:space="0" w:color="auto"/>
            <w:bottom w:val="none" w:sz="0" w:space="0" w:color="auto"/>
            <w:right w:val="none" w:sz="0" w:space="0" w:color="auto"/>
          </w:divBdr>
        </w:div>
        <w:div w:id="1061908109">
          <w:marLeft w:val="360"/>
          <w:marRight w:val="0"/>
          <w:marTop w:val="200"/>
          <w:marBottom w:val="0"/>
          <w:divBdr>
            <w:top w:val="none" w:sz="0" w:space="0" w:color="auto"/>
            <w:left w:val="none" w:sz="0" w:space="0" w:color="auto"/>
            <w:bottom w:val="none" w:sz="0" w:space="0" w:color="auto"/>
            <w:right w:val="none" w:sz="0" w:space="0" w:color="auto"/>
          </w:divBdr>
        </w:div>
      </w:divsChild>
    </w:div>
    <w:div w:id="1023702991">
      <w:bodyDiv w:val="1"/>
      <w:marLeft w:val="0"/>
      <w:marRight w:val="0"/>
      <w:marTop w:val="0"/>
      <w:marBottom w:val="0"/>
      <w:divBdr>
        <w:top w:val="none" w:sz="0" w:space="0" w:color="auto"/>
        <w:left w:val="none" w:sz="0" w:space="0" w:color="auto"/>
        <w:bottom w:val="none" w:sz="0" w:space="0" w:color="auto"/>
        <w:right w:val="none" w:sz="0" w:space="0" w:color="auto"/>
      </w:divBdr>
    </w:div>
    <w:div w:id="12456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ofethics.ama-assn.org/article/technical-standards-and-lawsuits-involving-accommodations-health-professions-students/2016-10" TargetMode="External"/><Relationship Id="rId13" Type="http://schemas.openxmlformats.org/officeDocument/2006/relationships/hyperlink" Target="https://www.ncbi.nlm.nih.gov/pmc/articles/PMC5374926/" TargetMode="External"/><Relationship Id="rId18" Type="http://schemas.openxmlformats.org/officeDocument/2006/relationships/hyperlink" Target="https://www.ncbi.nlm.nih.gov/pmc/articles/PMC5374926/"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ncbi.nlm.nih.gov/pmc/articles/PMC5374926/" TargetMode="External"/><Relationship Id="rId7" Type="http://schemas.openxmlformats.org/officeDocument/2006/relationships/hyperlink" Target="https://www.employmentlawblog.info/2015/06/reyazuddin-v-montgomery-county-maryland-no-14-1299-4th-cir-june-15-2015.shtml" TargetMode="External"/><Relationship Id="rId12" Type="http://schemas.openxmlformats.org/officeDocument/2006/relationships/hyperlink" Target="https://www2.ed.gov/about/offices/list/ocr/complaints-how.html" TargetMode="External"/><Relationship Id="rId17" Type="http://schemas.openxmlformats.org/officeDocument/2006/relationships/hyperlink" Target="https://www.ncbi.nlm.nih.gov/pmc/articles/PMC5374926/"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cbi.nlm.nih.gov/pmc/articles/PMC5374926/" TargetMode="External"/><Relationship Id="rId20" Type="http://schemas.openxmlformats.org/officeDocument/2006/relationships/hyperlink" Target="https://www.ncbi.nlm.nih.gov/pmc/articles/PMC537492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1/journalofethics.2016.18.10.hlaw1-161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pmc/articles/PMC537492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adata.org/faq/what-are-public-or-private-college-universitys-responsibilities-students-disabilities" TargetMode="External"/><Relationship Id="rId19" Type="http://schemas.openxmlformats.org/officeDocument/2006/relationships/hyperlink" Target="https://www.ncbi.nlm.nih.gov/pmc/articles/PMC5374926/" TargetMode="External"/><Relationship Id="rId4" Type="http://schemas.openxmlformats.org/officeDocument/2006/relationships/webSettings" Target="webSettings.xml"/><Relationship Id="rId9" Type="http://schemas.openxmlformats.org/officeDocument/2006/relationships/hyperlink" Target="https://www.ncbi.nlm.nih.gov/pmc/articles/PMC5374926/" TargetMode="External"/><Relationship Id="rId14" Type="http://schemas.openxmlformats.org/officeDocument/2006/relationships/hyperlink" Target="https://www.ncbi.nlm.nih.gov/pmc/articles/PMC5374926/"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Colleen</dc:creator>
  <cp:keywords/>
  <dc:description/>
  <cp:lastModifiedBy>Larsen, Colleen</cp:lastModifiedBy>
  <cp:revision>4</cp:revision>
  <cp:lastPrinted>2019-06-12T19:29:00Z</cp:lastPrinted>
  <dcterms:created xsi:type="dcterms:W3CDTF">2019-10-30T13:52:00Z</dcterms:created>
  <dcterms:modified xsi:type="dcterms:W3CDTF">2020-03-30T17:58:00Z</dcterms:modified>
</cp:coreProperties>
</file>