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7.0.0 -->
  <w:body>
    <w:p w:rsidR="00D9484A" w:rsidRPr="005527EE">
      <w:pPr>
        <w:bidi w:val="0"/>
        <w:spacing w:after="280" w:afterAutospacing="1"/>
        <w:jc w:val="center"/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64.5pt;width:226.5pt">
            <v:imagedata r:id="rId4" o:title=""/>
          </v:shape>
        </w:pict>
      </w:r>
    </w:p>
    <w:p w:rsidR="00D9484A" w:rsidRPr="005527EE">
      <w:r>
        <w:t> </w:t>
      </w:r>
    </w:p>
    <w:p w:rsidR="00D9484A" w:rsidRPr="005527EE">
      <w:pPr>
        <w:pStyle w:val="Heading2"/>
      </w:pPr>
      <w:r w:rsidRPr="005527EE">
        <w:t>WTCS Repository</w:t>
      </w:r>
    </w:p>
    <w:p w:rsidR="00D9484A" w:rsidRPr="005527EE">
      <w:pPr>
        <w:pStyle w:val="Title"/>
      </w:pPr>
      <w:r w:rsidRPr="005527EE">
        <w:t>10-806-189  Basic Anatomy</w:t>
      </w:r>
    </w:p>
    <w:p w:rsidR="00D9484A" w:rsidRPr="005527EE">
      <w:pPr>
        <w:pStyle w:val="Heading1"/>
      </w:pPr>
      <w:r w:rsidRPr="005527EE">
        <w:t>Course Outcome Summary</w:t>
      </w:r>
    </w:p>
    <w:p w:rsidR="00D9484A" w:rsidRPr="005527EE">
      <w:pPr>
        <w:pStyle w:val="Heading3"/>
      </w:pPr>
      <w:r w:rsidRPr="005527EE">
        <w:t>Course Information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800"/>
        <w:gridCol w:w="1700"/>
        <w:gridCol w:w="84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Description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>
              <w:t>Examines concepts of anatomy and physiology as they relate to health careers. Learners correlate anatomical and physiological terminology to all body systems.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Instructional Level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Associate Degree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Credits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3</w:t>
            </w:r>
          </w:p>
        </w:tc>
      </w:tr>
    </w:tbl>
    <w:p w:rsidR="00D9484A" w:rsidRPr="005527EE">
      <w:pPr>
        <w:pStyle w:val="Heading7"/>
      </w:pPr>
      <w:r w:rsidRPr="005527EE">
        <w:t>Pre/Corequisites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2000"/>
        <w:gridCol w:w="88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Prerequisite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Each Wisconsin Technical College determines the General Education course prerequisites used by their academic institution. If prerequisites for a course are determined to be appropriate, the final Course Outcome Summary must identify the prerequisites approved for use by the individual Technical College.</w:t>
            </w:r>
          </w:p>
        </w:tc>
      </w:tr>
    </w:tbl>
    <w:p w:rsidR="00D9484A" w:rsidRPr="005527EE">
      <w:pPr>
        <w:pStyle w:val="Heading3"/>
      </w:pPr>
      <w:r w:rsidRPr="005527EE">
        <w:t>Course Competencies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800"/>
        <w:gridCol w:w="800"/>
        <w:gridCol w:w="95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Explain concept of homeostasis as it relates to anatomy and physiology.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anatomy and physiology.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provides physiological and anatomical examples of homeostasis.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Correlation includes relationship between negative feedback mechanisms and homeostasis.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anatomy and physiology.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anatomical and physiological examples of homeostasis.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concept of negative feedback mechanism to homeostasis.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Relate body structures to body systems and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identifies organs and tissues within each body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Body's levels of organization are outlined.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Terminology associated with body's level of organization is examined.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Body functions and body systems are linked.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major body tissues and organs to systems of body.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Outline levels of organization within body from simplest to most complex.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terminology associated with levels of body organization.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body systems with body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Relate anatomical terminology to body regions, body and organ planes, and body cavities.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demonstrates correct anatomical position.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Terminology associated with sections, planes, and body structure positional relationships is applied.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Abdominal organs are identified by abdominopelvic cavity regions.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Viscera are identified by their specific body cavities.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Illustrate correct anatomical position.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Apply terms used to describe relationships of body structures to one another.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Apply terms used to describe sections and planes of body and body structure.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components of abdominopelvic cavity to specific abdominal regions.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components of body to their specific body cavities.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Examine basic concepts of chemistry.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types of chemical bonds.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Examination includes the functions and body compartments of water.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Components of a solution are characterized by amount, consistency,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Concept of homeostasis is applied to pH of body fluids.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RNA and DNA.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Role of enzymes in body is examined.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terminology associated with building blocks of chemistry.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types of chemical bonds.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functions and locations of water.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components of a solution.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oxygen and carbon dioxide.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trace elements.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pH of body fluids to concept of homeostasis.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4.h.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complex molecules by their structure and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4.i.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RNA and DNA by structure, location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4.j.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role of enzymes in body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Compare cellular transport mechanisms.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Components of cell membrane are analyzed.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identifies intracellular components.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Intracellular components of a cell are related to the functions of a cell.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Transport mechanisms of a cell are characterized by action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components of cell membrane.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intracellular components.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Relate cell structures to cell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types of transport systems used by cells.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Examine major cellular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Steps of protein synthesis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mitosis and meiosis.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Outcomes or consequences of mitosis and meiosis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steps of protein synthesis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stages of mitosis and meiosis.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outcomes of mitosis and meiosis.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Characterize primary tissue types of body.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Identifies primary tissues of body according to location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Components within each primary tissue type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Serous and mucous membranes of body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epithelial tissues.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primary tissues of body by location.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primary tissues of body by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components of each type of primary tissue.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membranes associated with body tissues.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types of epithelium by structure, location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8.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Relate integumentary components to integumentary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Functions of integumentary system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Location, structure, and function of layers of skin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Hair is characterized by structure and location.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Tissues of integumentary system are identified according to location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functions of integumentary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layers of skin.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hair by structure and location.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location and functions of integumentary nerve tissue, glands and blood vessels.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9.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Evaluate the inflammation process.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Examination process includes the significance of inflammation.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Evaluation includes symptoms of both local and systemic inflammation.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Symptoms of inflammation are explained by anatomical and physiological changes.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Evaluation includes influence of chemical mediators in the inflammatory process.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purpose of inflammatory process.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role of chemical mediators in the inflammatory process.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symptoms of inflammation.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anatomical changes of inflammatory process to symptoms.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10.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Compare the axial and appendicular portions of human skeleton.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differences between axial and appendicular skeleton.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Bones of axial and appendicular skeleton are identified correctly.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bone shapes and gross anatomical characteristics.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Cells of bone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Composition of bone is examined.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Differentiate between components of axial and appendicular skeleton.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bones of axial and appendicular skeleton.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bones by shape and gross anatomical appearance.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types of bone cells.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10.e.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significance of chemical composition of bone.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Assess growth of bone tissue.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Steps in bone growth are characterized by anatomical and physiological changes.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Cells of bone growth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Analysis includes factors that affect bone growth and bone maintenance.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Disease process of osteoporosis is compared to normal bone maintenance.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steps involved in bone growth.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cells involved in bone growth.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factors that affect bone growth and maintenance.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11.d.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Contrast osteoporosis disease process and bone growth.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Correlate activities at neuromuscular junction with the sliding filament theory.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Energy requirements of a contracting muscle are examined.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Phases of sliding filament theory are characterized by outcome and interaction between muscle filaments.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isotonic and isometric contractions.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a polarized muscle cell and a depolarized muscle cell.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Major muscles of body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Interaction between nerve tissue and muscle tissue is analyzed.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Structure of a normal muscle fiber is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Anatognistic and synergistic muscles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structure of a muscle fiber.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muscles as antagonistic or synergistic.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isotonic and isometric muscle contractions (exercise).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role of nerve tissues (e.g. brain structures, nerve receptors, etc.) in regulating muscle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metabolism requirements of a contracting skeletal muscle.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steps of polarization and depolarization.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Break down sliding filament theory into steps.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12.h.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major muscles of body.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12.i.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points of insertion and origin to muscle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Compare divisions of nervous system by location, structure, and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Divisions of nervous system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cells of nerve tissue.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Actions at a synapse are characterized by anatomical and physiological changes.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Types of neurons and nerves are compared by structure, location,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Components of a reflex arc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brain structures.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Spinal and cranial nerves are compared by numbers, location,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Divisions of autonomic nervous system are compared by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divisions of nervous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cells of nerve tissue.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actions at a synapse.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types of neurons and nerves.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structure of spinal cord.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components of nervous system to a reflex arc.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structures of brain by location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13.h.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spinal and cranial nerves.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13.i.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sympathetic and parasympathetic divisions.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Compare sensory receptors of body tissues.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Examination includes significance of referred pain.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senses of hunger, thirst, and taste.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Examination includes structures and their functions in the sound pathway.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Physiology of vision is examined.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Structures of eye and ear are correlated to the functions of the eye and ear.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Tissue sensory receptors are identified according to location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sensory receptors by sensations.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Explain referred pain.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senses of thirst, hunger and taste.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physiology of vision.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sound pathway.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14.f.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major structures of the eye and ear with their respective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Relate hormone actions to tissues.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Examination includes the role hormones play in maintaining homeostasis.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Hormones are classified by chemical structure.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Components of endocrine system are identified by location, structure,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Actions of hormones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the hormones secreted, functions of those hormones, structure and hypothalamus interaction between anterior and posterior pituitary.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role of hormones in homeostasis.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Classify hormones by chemical structure.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components of endocrine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mechanisms of hormone action.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15.e.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anterior and posterior pituitary.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composition and functions of blood.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identifies characteristics and normal values of blood.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Plasma proteins are compared by abundance and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Structure of an erythrocyte is correlated to its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Examination includes steps of erythropoeisis.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Types of anemia are correlated to anatomical and physiological changes of an erythrocyte.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Explanation includes what happens to an erythrocyte when its lifespan expires.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Blood types are compared by antigen and antibody arrangement.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Leukocytes are classified by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16.9.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Functions of platelets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16.10.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Assessment includes stages of hemostasis.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characteristics and normal values of blood.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plasma proteins.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structure of erythrocytes to erythrocyte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erythropoeisis.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pathology of erthyrocytes to types of anemia.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Explain what happens to an erythrocyte when its life span is expired.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blood types.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16.h.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Classify leukocytes by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16.i.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functions of platelets.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16.j.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Assess stages of hemostasis.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regulation of blood flow.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Structure and function of types of blood vessels are contrasted.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Pulmonary and systemic circulation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Major blood vessels of body are identified according to location.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Relationship between blood vessel type and blood pressure are correlated.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Body systems and tissues involved in regulating blood pressure are identified according to actions.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Contrast arteries, veins and capillaries.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pulmonary and systemic circulation.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major blood vessels of body.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blood pressure to types of blood vessels.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17.e.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Identify body systems involved in maintaining and regulating blood pressure.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18.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Evaluate mechanisms that regulate heart rate.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Relationship between heart chambers and their respective blood vessels are established.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Relationship between heart chambers and their respective heart valves are established.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Blood flow through heart is demonstrated.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Blood flow to and within myocardium is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Events of cardiac cycle are characterized by sequence and outcome.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Normal heart rate values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Terminology associated with heart functions is contrasted by action and outcome.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Brain centers involved in regulating blood pressure are examined.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chambers of heart to their respective blood vessels.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chambers of heart with their respective heart valves.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Map blood flow through heart.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blood vessels of myocardium.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sequence of events in the cardiac cycle.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cardiac conduction pathway.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Contrast terminology associated with heart functions (e.g. stroke volume, venous return).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18.h.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brain centers involved in regulating blood pressure.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19.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components of lymphatic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Composition of lymph is characterized by amount, origin,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types of lymphatic vessels.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Locations of lymphatic nodes and nodules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Relationship between spleen structure and function are established.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Relationship between thymus structure and function are established.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composition of lymph.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types of lymphatic vessels.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areas of lymphatic nodes and lymphatic nodules.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structure of spleen with its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19.e.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structure of thymus with its functions.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20.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Compare types of immunity.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Cells of immunity are identified according to origin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antigens and antibodies.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acquired and genetic immunity.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Analysis includes actions of cell-mediated and humoral immunity.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cells of immunity.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antigens and antibodies.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acquired and genetic immunity.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20.d.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actions of cell-mediated and humoral immunity.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Evaluate ventilation.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Components of upper and lower respiratory tract are compared by location, structure,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Lung serous and mucous membranes are identified according to location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Mechanisms of inspiration and expiration are characterized.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Assessment includes location and process of gas exchange.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Transportation of oxygen and carbon dioxide in body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Various measurements of pulmonary volumes are analyzed.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Interactions between chemoreceptors and nerve tissue in maintaining homeostasis of respiration are established.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Relationship between blood pH and respiration is established.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structures of upper and lower respiratory tracts.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location and functions of lung serous membranes.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Characterize mechanisms of air movement during inspiration and expiration.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Assess gas exchange.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oxygen and carbon dioxide transportation.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terminology associated with measuring pulmonary volumes.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Correlate actions of chemoreceptors with nervous system regulation of ventilation.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21.h.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Relate ventilation with pH balance of blood.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digestion and absorption.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maps food pathway from oral cavity to rectum.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Divisions of digestive system are compared by structures included, location, and overall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Digestive system structures and their respective functions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Layers of alimentary canal wall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Functions of liver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Functions of small and large intestine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Examination includes structures and process of defecation reflex.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Map pathway food products take from the oral cavity to the rectum.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divisions of digestive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functions of structures within the digestive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layers of alimentary canal wall.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functions of liver.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functions of large and small intestines.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22.g.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defecation reflex.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Assess the urinary system's role in maintaining homeostasis of blood volume, blood pressure, and blood pH.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Functions of urinary system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Components of urinary system are identified by microscopic and gross anatomical appearance.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Urine formation is analyzed by process and regulation.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Examination includes process by which kidneys regulation blood pH.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Urination reflex is evaluated.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mechanisms of water intake and water output.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Analysis includes clinical relevance of electrolyte concentrations in body fluids.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types of acidosis and alkalosis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functions of urinary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gross anatomical and microscopic appearance of urinary system components.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urine formation.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mechanisms that regulate urine formation.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how kidneys balance pH of body fluids (particularly blood).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clinical relevance of urine composition.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23.g.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Evaluate urination reflex.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23.h.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mechanisms that regulate water intake and output.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23.i.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electrolyte concentrations in body fluids and the clinical relevance.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23.j.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respiratory acidosis and alkalosis.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23.k.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metabolic acidosis and alkalosis.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Differentiate between stages of menstrual cycle.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Structures of female reproductive system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Interactions between pituitary hormones and ovaries and mammary glands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Analysis includes follicular changes during menstrual cycle.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24.a.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structures of female reproductive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24.b.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interactions between pituitary hormones and the ovaries and mammary glands.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24.c.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Relate changes in endometrium to ovarian cycle.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24.d.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Analyze follicular changes during menstrual cycle.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stages of spermatogenesis.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Learner maps route sperm take through male reproductive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Structures of male reproductive system are identified.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Relationship between accessory reproductive glands and spermatogenesis is established.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Cells of spermatogenesis are identified according to location and function.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Map spermatozoa movement through male reproductive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structures of male reproductive system.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Relate accessory reproductive glands to spermatogenesis.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25.d.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Identify cells of spermatogenesis.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Correlate microbiology terminology with human disease processes.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active participation in group activities.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without the use of notes or textbooks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by achieving a 76% or higher on a written examination.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5"/>
            </w:pPr>
            <w:r w:rsidRPr="005527EE">
              <w:t>Criteria: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Comparison includes similarities and differences between common microorganisms.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Terminology associated with reservoirs and spread of infection are classified.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Portals of microorganism entry and exit are compared.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Relationship between disease and specific types of microorganisms is examined.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Learning Objectives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different types of microorganisms.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Classify terminology associated with reservoirs of infection and spread of infection.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Compare portals of entry and portals of exit.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26.d.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Examine relationship between disease and specific types of microorganisms.</w:t>
            </w:r>
          </w:p>
        </w:tc>
      </w:tr>
    </w:tbl>
    <w:p w:rsidR="00D9484A" w:rsidRPr="005527EE">
      <w:bookmarkStart w:id="0" w:name="_GoBack"/>
      <w:bookmarkEnd w:id="0"/>
    </w:p>
    <w:sectPr w:rsidSect="00AD0BF6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Course Outcome Summary - </w:t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  <w:p>
    <w:pPr>
      <w:pStyle w:val="Header"/>
    </w:pPr>
    <w:r>
      <w:t>Wednesday, May 22, 2019 10:06 AM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styleLockQFSet/>
  <w:stylePaneFormatFilter w:val="5304"/>
  <w:doNotTrackMoves/>
  <w:defaultTabStop w:val="720"/>
  <w:drawingGridHorizontalSpacing w:val="110"/>
  <w:displayHorizontalDrawingGridEvery w:val="2"/>
  <w:characterSpacingControl w:val="doNotCompress"/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hAnsi="Arial" w:eastAsiaTheme="majorEastAsia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hAnsi="Arial" w:eastAsiaTheme="majorEastAsia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hAnsi="Arial" w:eastAsiaTheme="majorEastAsia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hAnsi="Arial" w:eastAsiaTheme="majorEastAsia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hAnsi="Arial" w:eastAsiaTheme="majorEastAsia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hAnsi="Arial" w:eastAsiaTheme="majorEastAsia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hAnsi="Arial" w:eastAsiaTheme="minorHAnsi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hAnsi="Times New Roman" w:eastAsiaTheme="minorHAnsi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hAnsi="Arial" w:eastAsiaTheme="minorHAns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hAnsi="Arial" w:eastAsiaTheme="minorHAnsi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hAnsi="Tahoma" w:eastAsiaTheme="minorHAnsi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before="0" w:after="0"/>
      <w:jc w:val="right"/>
    </w:pPr>
    <w:rPr>
      <w:b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QuickPrintTemplate.dotx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2</cp:revision>
  <dcterms:created xsi:type="dcterms:W3CDTF">2012-02-21T21:10:00Z</dcterms:created>
  <dcterms:modified xsi:type="dcterms:W3CDTF">2013-07-09T19:35:00Z</dcterms:modified>
</cp:coreProperties>
</file>