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03C1" w14:textId="14AA8569" w:rsidR="00E717A0" w:rsidRDefault="00E717A0" w:rsidP="00BB6755">
      <w:pPr>
        <w:pStyle w:val="Heading2"/>
        <w:spacing w:before="120"/>
      </w:pPr>
      <w:r>
        <w:t>Establishing an IET Team:</w:t>
      </w:r>
    </w:p>
    <w:p w14:paraId="43184E57" w14:textId="0B6E8ECD" w:rsidR="007D157A" w:rsidRPr="00554750" w:rsidRDefault="00DB3A11">
      <w:r w:rsidRPr="00554750">
        <w:t>Many hands make light work</w:t>
      </w:r>
      <w:r w:rsidR="007D157A" w:rsidRPr="00554750">
        <w:t>.</w:t>
      </w:r>
      <w:r w:rsidRPr="00554750">
        <w:t xml:space="preserve"> To develop and </w:t>
      </w:r>
      <w:r w:rsidR="00E65BED" w:rsidRPr="00554750">
        <w:t xml:space="preserve">implement an </w:t>
      </w:r>
      <w:r w:rsidRPr="00554750">
        <w:t>IET</w:t>
      </w:r>
      <w:r w:rsidR="00E65BED" w:rsidRPr="00554750">
        <w:t xml:space="preserve"> program</w:t>
      </w:r>
      <w:r w:rsidRPr="00554750">
        <w:t xml:space="preserve"> is no easy task. </w:t>
      </w:r>
      <w:r w:rsidR="00E65BED" w:rsidRPr="00554750">
        <w:t xml:space="preserve">Providers of IET are </w:t>
      </w:r>
      <w:r w:rsidR="00E717A0" w:rsidRPr="00554750">
        <w:t>encouraged</w:t>
      </w:r>
      <w:r w:rsidR="00E65BED" w:rsidRPr="00554750">
        <w:t xml:space="preserve"> to form a local IET team</w:t>
      </w:r>
      <w:r w:rsidR="00E717A0" w:rsidRPr="00554750">
        <w:t xml:space="preserve"> as they design, develop, implement, and maintain IET programs. </w:t>
      </w:r>
      <w:r w:rsidRPr="00554750">
        <w:t xml:space="preserve">Consider who </w:t>
      </w:r>
      <w:r w:rsidR="00E717A0" w:rsidRPr="00554750">
        <w:t xml:space="preserve">should be included </w:t>
      </w:r>
      <w:r w:rsidRPr="00554750">
        <w:t xml:space="preserve">on your IET development team. </w:t>
      </w:r>
      <w:r w:rsidR="006F4C1E" w:rsidRPr="00554750">
        <w:t>Th</w:t>
      </w:r>
      <w:r w:rsidR="00E717A0" w:rsidRPr="00554750">
        <w:t>i</w:t>
      </w:r>
      <w:r w:rsidR="006F4C1E" w:rsidRPr="00554750">
        <w:t xml:space="preserve">nk about your </w:t>
      </w:r>
      <w:r w:rsidR="00767A2B" w:rsidRPr="00554750">
        <w:t xml:space="preserve">IET </w:t>
      </w:r>
      <w:r w:rsidR="006F4C1E" w:rsidRPr="00554750">
        <w:t xml:space="preserve">needs and </w:t>
      </w:r>
      <w:r w:rsidR="00524057" w:rsidRPr="00554750">
        <w:t>potential team member’s</w:t>
      </w:r>
      <w:r w:rsidR="006F4C1E" w:rsidRPr="00554750">
        <w:t xml:space="preserve"> </w:t>
      </w:r>
      <w:r w:rsidR="00524057" w:rsidRPr="00554750">
        <w:t>skills, knowledge, and resources to support your IET</w:t>
      </w:r>
      <w:r w:rsidR="006F4C1E" w:rsidRPr="00554750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2350"/>
        <w:gridCol w:w="2943"/>
        <w:gridCol w:w="1862"/>
      </w:tblGrid>
      <w:tr w:rsidR="002A2DBD" w14:paraId="5C618915" w14:textId="4681428A" w:rsidTr="007E5A96">
        <w:tc>
          <w:tcPr>
            <w:tcW w:w="2195" w:type="dxa"/>
            <w:shd w:val="clear" w:color="auto" w:fill="D9E2F3" w:themeFill="accent1" w:themeFillTint="33"/>
            <w:vAlign w:val="center"/>
          </w:tcPr>
          <w:p w14:paraId="38659B57" w14:textId="1858570E" w:rsidR="002A2DBD" w:rsidRPr="007E5A96" w:rsidRDefault="002A2DBD" w:rsidP="007E5A96">
            <w:pPr>
              <w:jc w:val="center"/>
              <w:rPr>
                <w:b/>
                <w:bCs/>
              </w:rPr>
            </w:pPr>
            <w:r w:rsidRPr="007E5A96">
              <w:rPr>
                <w:b/>
                <w:bCs/>
              </w:rPr>
              <w:t>Team Member</w:t>
            </w:r>
          </w:p>
        </w:tc>
        <w:tc>
          <w:tcPr>
            <w:tcW w:w="2350" w:type="dxa"/>
            <w:shd w:val="clear" w:color="auto" w:fill="D9E2F3" w:themeFill="accent1" w:themeFillTint="33"/>
            <w:vAlign w:val="center"/>
          </w:tcPr>
          <w:p w14:paraId="2D052F39" w14:textId="6A25FE2E" w:rsidR="002A2DBD" w:rsidRPr="007E5A96" w:rsidRDefault="002A2DBD" w:rsidP="007E5A96">
            <w:pPr>
              <w:jc w:val="center"/>
              <w:rPr>
                <w:b/>
                <w:bCs/>
              </w:rPr>
            </w:pPr>
            <w:r w:rsidRPr="007E5A96">
              <w:rPr>
                <w:b/>
                <w:bCs/>
              </w:rPr>
              <w:t>Organization</w:t>
            </w:r>
          </w:p>
        </w:tc>
        <w:tc>
          <w:tcPr>
            <w:tcW w:w="2943" w:type="dxa"/>
            <w:shd w:val="clear" w:color="auto" w:fill="D9E2F3" w:themeFill="accent1" w:themeFillTint="33"/>
            <w:vAlign w:val="center"/>
          </w:tcPr>
          <w:p w14:paraId="3AF176A6" w14:textId="70D7EE23" w:rsidR="002A2DBD" w:rsidRPr="007E5A96" w:rsidRDefault="002A2DBD" w:rsidP="007E5A96">
            <w:pPr>
              <w:jc w:val="center"/>
              <w:rPr>
                <w:b/>
                <w:bCs/>
              </w:rPr>
            </w:pPr>
            <w:r w:rsidRPr="007E5A96">
              <w:rPr>
                <w:b/>
                <w:bCs/>
              </w:rPr>
              <w:t xml:space="preserve">Skills/Knowledge/Resources </w:t>
            </w:r>
            <w:r w:rsidR="007E5A96">
              <w:rPr>
                <w:b/>
                <w:bCs/>
              </w:rPr>
              <w:t xml:space="preserve">to support </w:t>
            </w:r>
            <w:r w:rsidRPr="007E5A96">
              <w:rPr>
                <w:b/>
                <w:bCs/>
              </w:rPr>
              <w:t>IET</w:t>
            </w:r>
          </w:p>
        </w:tc>
        <w:tc>
          <w:tcPr>
            <w:tcW w:w="1862" w:type="dxa"/>
            <w:shd w:val="clear" w:color="auto" w:fill="D9E2F3" w:themeFill="accent1" w:themeFillTint="33"/>
            <w:vAlign w:val="center"/>
          </w:tcPr>
          <w:p w14:paraId="67E2917B" w14:textId="09BCD94D" w:rsidR="002A2DBD" w:rsidRPr="007E5A96" w:rsidRDefault="007E5A96" w:rsidP="007E5A96">
            <w:pPr>
              <w:jc w:val="center"/>
              <w:rPr>
                <w:b/>
                <w:bCs/>
              </w:rPr>
            </w:pPr>
            <w:r w:rsidRPr="007E5A96">
              <w:rPr>
                <w:b/>
                <w:bCs/>
              </w:rPr>
              <w:t>Contact Information</w:t>
            </w:r>
          </w:p>
        </w:tc>
      </w:tr>
      <w:tr w:rsidR="002A2DBD" w14:paraId="2B0F4EBD" w14:textId="4A142770" w:rsidTr="002A2DBD">
        <w:tc>
          <w:tcPr>
            <w:tcW w:w="2195" w:type="dxa"/>
          </w:tcPr>
          <w:p w14:paraId="24D4CF1C" w14:textId="77777777" w:rsidR="002A2DBD" w:rsidRDefault="002A2DBD" w:rsidP="007D157A"/>
        </w:tc>
        <w:tc>
          <w:tcPr>
            <w:tcW w:w="2350" w:type="dxa"/>
          </w:tcPr>
          <w:p w14:paraId="131A2EE8" w14:textId="77777777" w:rsidR="002A2DBD" w:rsidRDefault="002A2DBD" w:rsidP="007D157A"/>
        </w:tc>
        <w:tc>
          <w:tcPr>
            <w:tcW w:w="2943" w:type="dxa"/>
          </w:tcPr>
          <w:p w14:paraId="6E862390" w14:textId="77777777" w:rsidR="002A2DBD" w:rsidRDefault="002A2DBD" w:rsidP="007D157A"/>
        </w:tc>
        <w:tc>
          <w:tcPr>
            <w:tcW w:w="1862" w:type="dxa"/>
          </w:tcPr>
          <w:p w14:paraId="0239BF5F" w14:textId="77777777" w:rsidR="002A2DBD" w:rsidRDefault="002A2DBD" w:rsidP="007D157A"/>
        </w:tc>
      </w:tr>
      <w:tr w:rsidR="002A2DBD" w14:paraId="254FDEBD" w14:textId="54CD97FE" w:rsidTr="002A2DBD">
        <w:tc>
          <w:tcPr>
            <w:tcW w:w="2195" w:type="dxa"/>
          </w:tcPr>
          <w:p w14:paraId="054C7338" w14:textId="77777777" w:rsidR="002A2DBD" w:rsidRDefault="002A2DBD" w:rsidP="007D157A"/>
        </w:tc>
        <w:tc>
          <w:tcPr>
            <w:tcW w:w="2350" w:type="dxa"/>
          </w:tcPr>
          <w:p w14:paraId="60ECD48D" w14:textId="77777777" w:rsidR="002A2DBD" w:rsidRDefault="002A2DBD" w:rsidP="007D157A"/>
        </w:tc>
        <w:tc>
          <w:tcPr>
            <w:tcW w:w="2943" w:type="dxa"/>
          </w:tcPr>
          <w:p w14:paraId="78A321AD" w14:textId="77777777" w:rsidR="002A2DBD" w:rsidRDefault="002A2DBD" w:rsidP="007D157A"/>
        </w:tc>
        <w:tc>
          <w:tcPr>
            <w:tcW w:w="1862" w:type="dxa"/>
          </w:tcPr>
          <w:p w14:paraId="6E4CC256" w14:textId="77777777" w:rsidR="002A2DBD" w:rsidRDefault="002A2DBD" w:rsidP="007D157A"/>
        </w:tc>
      </w:tr>
      <w:tr w:rsidR="002A2DBD" w14:paraId="54FE95AB" w14:textId="508E0589" w:rsidTr="002A2DBD">
        <w:tc>
          <w:tcPr>
            <w:tcW w:w="2195" w:type="dxa"/>
          </w:tcPr>
          <w:p w14:paraId="0420B9ED" w14:textId="77777777" w:rsidR="002A2DBD" w:rsidRDefault="002A2DBD" w:rsidP="007D157A"/>
        </w:tc>
        <w:tc>
          <w:tcPr>
            <w:tcW w:w="2350" w:type="dxa"/>
          </w:tcPr>
          <w:p w14:paraId="76897496" w14:textId="77777777" w:rsidR="002A2DBD" w:rsidRDefault="002A2DBD" w:rsidP="007D157A"/>
        </w:tc>
        <w:tc>
          <w:tcPr>
            <w:tcW w:w="2943" w:type="dxa"/>
          </w:tcPr>
          <w:p w14:paraId="124AA73D" w14:textId="77777777" w:rsidR="002A2DBD" w:rsidRDefault="002A2DBD" w:rsidP="007D157A"/>
        </w:tc>
        <w:tc>
          <w:tcPr>
            <w:tcW w:w="1862" w:type="dxa"/>
          </w:tcPr>
          <w:p w14:paraId="73772F9C" w14:textId="77777777" w:rsidR="002A2DBD" w:rsidRDefault="002A2DBD" w:rsidP="007D157A"/>
        </w:tc>
      </w:tr>
      <w:tr w:rsidR="002A2DBD" w14:paraId="6C223A7F" w14:textId="39B85047" w:rsidTr="002A2DBD">
        <w:tc>
          <w:tcPr>
            <w:tcW w:w="2195" w:type="dxa"/>
          </w:tcPr>
          <w:p w14:paraId="45C0980A" w14:textId="77777777" w:rsidR="002A2DBD" w:rsidRDefault="002A2DBD" w:rsidP="007D157A"/>
        </w:tc>
        <w:tc>
          <w:tcPr>
            <w:tcW w:w="2350" w:type="dxa"/>
          </w:tcPr>
          <w:p w14:paraId="08958616" w14:textId="77777777" w:rsidR="002A2DBD" w:rsidRDefault="002A2DBD" w:rsidP="007D157A"/>
        </w:tc>
        <w:tc>
          <w:tcPr>
            <w:tcW w:w="2943" w:type="dxa"/>
          </w:tcPr>
          <w:p w14:paraId="6B45B449" w14:textId="77777777" w:rsidR="002A2DBD" w:rsidRDefault="002A2DBD" w:rsidP="007D157A"/>
        </w:tc>
        <w:tc>
          <w:tcPr>
            <w:tcW w:w="1862" w:type="dxa"/>
          </w:tcPr>
          <w:p w14:paraId="6EEC9113" w14:textId="77777777" w:rsidR="002A2DBD" w:rsidRDefault="002A2DBD" w:rsidP="007D157A"/>
        </w:tc>
      </w:tr>
      <w:tr w:rsidR="002A2DBD" w14:paraId="65C10F8C" w14:textId="3BAEF918" w:rsidTr="002A2DBD">
        <w:tc>
          <w:tcPr>
            <w:tcW w:w="2195" w:type="dxa"/>
          </w:tcPr>
          <w:p w14:paraId="782AFC37" w14:textId="77777777" w:rsidR="002A2DBD" w:rsidRDefault="002A2DBD" w:rsidP="007D157A"/>
        </w:tc>
        <w:tc>
          <w:tcPr>
            <w:tcW w:w="2350" w:type="dxa"/>
          </w:tcPr>
          <w:p w14:paraId="241AC158" w14:textId="77777777" w:rsidR="002A2DBD" w:rsidRDefault="002A2DBD" w:rsidP="007D157A"/>
        </w:tc>
        <w:tc>
          <w:tcPr>
            <w:tcW w:w="2943" w:type="dxa"/>
          </w:tcPr>
          <w:p w14:paraId="31780E15" w14:textId="77777777" w:rsidR="002A2DBD" w:rsidRDefault="002A2DBD" w:rsidP="007D157A"/>
        </w:tc>
        <w:tc>
          <w:tcPr>
            <w:tcW w:w="1862" w:type="dxa"/>
          </w:tcPr>
          <w:p w14:paraId="4296D0EE" w14:textId="77777777" w:rsidR="002A2DBD" w:rsidRDefault="002A2DBD" w:rsidP="007D157A"/>
        </w:tc>
      </w:tr>
      <w:tr w:rsidR="002A2DBD" w14:paraId="01F7A785" w14:textId="32DDDC29" w:rsidTr="002A2DBD">
        <w:tc>
          <w:tcPr>
            <w:tcW w:w="2195" w:type="dxa"/>
          </w:tcPr>
          <w:p w14:paraId="3A7E587C" w14:textId="77777777" w:rsidR="002A2DBD" w:rsidRDefault="002A2DBD" w:rsidP="007D157A"/>
        </w:tc>
        <w:tc>
          <w:tcPr>
            <w:tcW w:w="2350" w:type="dxa"/>
          </w:tcPr>
          <w:p w14:paraId="1C1552BC" w14:textId="77777777" w:rsidR="002A2DBD" w:rsidRDefault="002A2DBD" w:rsidP="007D157A"/>
        </w:tc>
        <w:tc>
          <w:tcPr>
            <w:tcW w:w="2943" w:type="dxa"/>
          </w:tcPr>
          <w:p w14:paraId="7913A6EC" w14:textId="77777777" w:rsidR="002A2DBD" w:rsidRDefault="002A2DBD" w:rsidP="007D157A"/>
        </w:tc>
        <w:tc>
          <w:tcPr>
            <w:tcW w:w="1862" w:type="dxa"/>
          </w:tcPr>
          <w:p w14:paraId="0453D229" w14:textId="77777777" w:rsidR="002A2DBD" w:rsidRDefault="002A2DBD" w:rsidP="007D157A"/>
        </w:tc>
      </w:tr>
      <w:tr w:rsidR="002A2DBD" w14:paraId="54161329" w14:textId="0A60EEC5" w:rsidTr="002A2DBD">
        <w:tc>
          <w:tcPr>
            <w:tcW w:w="2195" w:type="dxa"/>
          </w:tcPr>
          <w:p w14:paraId="14E24F7E" w14:textId="77777777" w:rsidR="002A2DBD" w:rsidRDefault="002A2DBD" w:rsidP="007D157A"/>
        </w:tc>
        <w:tc>
          <w:tcPr>
            <w:tcW w:w="2350" w:type="dxa"/>
          </w:tcPr>
          <w:p w14:paraId="491054C4" w14:textId="77777777" w:rsidR="002A2DBD" w:rsidRDefault="002A2DBD" w:rsidP="007D157A"/>
        </w:tc>
        <w:tc>
          <w:tcPr>
            <w:tcW w:w="2943" w:type="dxa"/>
          </w:tcPr>
          <w:p w14:paraId="1290B255" w14:textId="77777777" w:rsidR="002A2DBD" w:rsidRDefault="002A2DBD" w:rsidP="007D157A"/>
        </w:tc>
        <w:tc>
          <w:tcPr>
            <w:tcW w:w="1862" w:type="dxa"/>
          </w:tcPr>
          <w:p w14:paraId="43B4A527" w14:textId="77777777" w:rsidR="002A2DBD" w:rsidRDefault="002A2DBD" w:rsidP="007D157A"/>
        </w:tc>
      </w:tr>
    </w:tbl>
    <w:p w14:paraId="01B23C0E" w14:textId="77777777" w:rsidR="007D157A" w:rsidRPr="00BB6755" w:rsidRDefault="007D157A" w:rsidP="007D157A">
      <w:pPr>
        <w:spacing w:after="0"/>
        <w:rPr>
          <w:sz w:val="10"/>
          <w:szCs w:val="10"/>
        </w:rPr>
      </w:pPr>
    </w:p>
    <w:p w14:paraId="7EDDAD4E" w14:textId="132ADF7A" w:rsidR="00E60594" w:rsidRDefault="00524057" w:rsidP="00E60594">
      <w:pPr>
        <w:pStyle w:val="Heading2"/>
      </w:pPr>
      <w:r>
        <w:t>IET Goals</w:t>
      </w:r>
      <w:r w:rsidR="00E60594">
        <w:t>:</w:t>
      </w:r>
    </w:p>
    <w:p w14:paraId="5FA34B30" w14:textId="4016F8CF" w:rsidR="00653D34" w:rsidRPr="00554750" w:rsidRDefault="00C34102" w:rsidP="00E51212">
      <w:pPr>
        <w:spacing w:after="120"/>
      </w:pPr>
      <w:r w:rsidRPr="00554750">
        <w:t xml:space="preserve">IET should be developed with </w:t>
      </w:r>
      <w:r w:rsidR="00653D34" w:rsidRPr="00554750">
        <w:t>learner, program, and partner goals in mind.</w:t>
      </w:r>
      <w:r w:rsidR="00D46E2C" w:rsidRPr="00554750">
        <w:t xml:space="preserve"> These goals help to inform the design of </w:t>
      </w:r>
      <w:r w:rsidR="007D1DFE" w:rsidRPr="00554750">
        <w:t xml:space="preserve">an IET and are also useful to revisit when evaluating if an IET program has been successful. </w:t>
      </w:r>
      <w:r w:rsidR="007B656C" w:rsidRPr="00554750">
        <w:t xml:space="preserve">The SMART goal methodology is helpful when crafting learner, program, and partner goals. </w:t>
      </w:r>
      <w:r w:rsidR="005C4A96" w:rsidRPr="00554750">
        <w:t xml:space="preserve">Review the following goals and determine </w:t>
      </w:r>
      <w:r w:rsidR="00077694">
        <w:t>what</w:t>
      </w:r>
      <w:r w:rsidR="005C4A96" w:rsidRPr="00554750">
        <w:t xml:space="preserve"> type of goal they are </w:t>
      </w:r>
      <w:proofErr w:type="gramStart"/>
      <w:r w:rsidR="005C4A96" w:rsidRPr="00554750">
        <w:t>and also</w:t>
      </w:r>
      <w:proofErr w:type="gramEnd"/>
      <w:r w:rsidR="005C4A96" w:rsidRPr="00554750">
        <w:t xml:space="preserve"> how they connect to the SMART goal methodology</w:t>
      </w:r>
      <w:r w:rsidR="00E51212">
        <w:t>.</w:t>
      </w:r>
    </w:p>
    <w:p w14:paraId="11FE3A97" w14:textId="10055C8C" w:rsidR="00554750" w:rsidRPr="00554750" w:rsidRDefault="00554750" w:rsidP="00554750">
      <w:pPr>
        <w:spacing w:after="0"/>
        <w:rPr>
          <w:rFonts w:cstheme="minorHAnsi"/>
        </w:rPr>
      </w:pPr>
      <w:r>
        <w:rPr>
          <w:rFonts w:cstheme="minorHAnsi"/>
        </w:rPr>
        <w:t>Types of Goals:</w:t>
      </w:r>
    </w:p>
    <w:p w14:paraId="06047397" w14:textId="1A7B948A" w:rsidR="002A11B8" w:rsidRPr="00554750" w:rsidRDefault="00653D34" w:rsidP="00653D34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554750">
        <w:rPr>
          <w:u w:val="single"/>
        </w:rPr>
        <w:t>Learner goals</w:t>
      </w:r>
      <w:r w:rsidR="002A11B8" w:rsidRPr="00554750">
        <w:t xml:space="preserve"> are for the target population and describe expected successful workforce development </w:t>
      </w:r>
      <w:proofErr w:type="gramStart"/>
      <w:r w:rsidR="002A11B8" w:rsidRPr="00554750">
        <w:t>outcomes</w:t>
      </w:r>
      <w:proofErr w:type="gramEnd"/>
    </w:p>
    <w:p w14:paraId="291431BB" w14:textId="77777777" w:rsidR="002A11B8" w:rsidRPr="00554750" w:rsidRDefault="002A11B8" w:rsidP="00653D34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554750">
        <w:rPr>
          <w:u w:val="single"/>
        </w:rPr>
        <w:t>Program goals</w:t>
      </w:r>
      <w:r w:rsidRPr="00554750">
        <w:t xml:space="preserve"> support learners and describe the overall desired outcomes of the </w:t>
      </w:r>
      <w:proofErr w:type="gramStart"/>
      <w:r w:rsidRPr="00554750">
        <w:t>program</w:t>
      </w:r>
      <w:proofErr w:type="gramEnd"/>
    </w:p>
    <w:p w14:paraId="0E26C5A2" w14:textId="77777777" w:rsidR="005C4A96" w:rsidRPr="00554750" w:rsidRDefault="002A11B8" w:rsidP="00E51212">
      <w:pPr>
        <w:pStyle w:val="ListParagraph"/>
        <w:numPr>
          <w:ilvl w:val="0"/>
          <w:numId w:val="3"/>
        </w:numPr>
        <w:spacing w:after="120"/>
        <w:rPr>
          <w:rFonts w:cstheme="minorHAnsi"/>
        </w:rPr>
      </w:pPr>
      <w:r w:rsidRPr="00554750">
        <w:rPr>
          <w:u w:val="single"/>
        </w:rPr>
        <w:t>Partner goals</w:t>
      </w:r>
      <w:r w:rsidRPr="00554750">
        <w:t xml:space="preserve"> focus on engagement or outcomes important to </w:t>
      </w:r>
      <w:proofErr w:type="gramStart"/>
      <w:r w:rsidRPr="00554750">
        <w:t>partners</w:t>
      </w:r>
      <w:proofErr w:type="gramEnd"/>
      <w:r w:rsidRPr="00554750">
        <w:t>, especially employers</w:t>
      </w:r>
      <w:r w:rsidR="00524057" w:rsidRPr="00554750">
        <w:t xml:space="preserve"> </w:t>
      </w:r>
    </w:p>
    <w:p w14:paraId="2977DEDB" w14:textId="3864F595" w:rsidR="005C4A96" w:rsidRPr="00554750" w:rsidRDefault="00554750" w:rsidP="00554750">
      <w:pPr>
        <w:spacing w:after="0"/>
        <w:rPr>
          <w:rFonts w:cstheme="minorHAnsi"/>
        </w:rPr>
      </w:pPr>
      <w:r>
        <w:rPr>
          <w:rFonts w:cstheme="minorHAnsi"/>
        </w:rPr>
        <w:t>SMART Goal Methodology:</w:t>
      </w:r>
    </w:p>
    <w:p w14:paraId="328E04F7" w14:textId="4C573B96" w:rsidR="007D157A" w:rsidRDefault="00A047D2" w:rsidP="00653D34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E51212">
        <w:rPr>
          <w:rFonts w:cstheme="minorHAnsi"/>
          <w:u w:val="single"/>
        </w:rPr>
        <w:t>S</w:t>
      </w:r>
      <w:r>
        <w:rPr>
          <w:rFonts w:cstheme="minorHAnsi"/>
        </w:rPr>
        <w:t>pecific – What is the outcome you expect? How will it be accomplished?</w:t>
      </w:r>
    </w:p>
    <w:p w14:paraId="0F769C72" w14:textId="4F9B635F" w:rsidR="00A047D2" w:rsidRDefault="00E51212" w:rsidP="00653D34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E51212">
        <w:rPr>
          <w:rFonts w:cstheme="minorHAnsi"/>
          <w:u w:val="single"/>
        </w:rPr>
        <w:t>M</w:t>
      </w:r>
      <w:r>
        <w:rPr>
          <w:rFonts w:cstheme="minorHAnsi"/>
        </w:rPr>
        <w:t>easurable – How will you know if you have accomplished it?</w:t>
      </w:r>
    </w:p>
    <w:p w14:paraId="10699A91" w14:textId="2281DFE7" w:rsidR="00E51212" w:rsidRDefault="00E51212" w:rsidP="00653D34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E51212">
        <w:rPr>
          <w:rFonts w:cstheme="minorHAnsi"/>
          <w:u w:val="single"/>
        </w:rPr>
        <w:t>A</w:t>
      </w:r>
      <w:r>
        <w:rPr>
          <w:rFonts w:cstheme="minorHAnsi"/>
        </w:rPr>
        <w:t>ttainable – Is the goal realistic given your capacity and constraints?</w:t>
      </w:r>
    </w:p>
    <w:p w14:paraId="5FD5CB5B" w14:textId="49F17783" w:rsidR="00E51212" w:rsidRDefault="00E51212" w:rsidP="00653D34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E51212">
        <w:rPr>
          <w:rFonts w:cstheme="minorHAnsi"/>
          <w:u w:val="single"/>
        </w:rPr>
        <w:t>R</w:t>
      </w:r>
      <w:r>
        <w:rPr>
          <w:rFonts w:cstheme="minorHAnsi"/>
        </w:rPr>
        <w:t>elevant – How does it meet the identified need(s)?</w:t>
      </w:r>
    </w:p>
    <w:p w14:paraId="67EAC7B1" w14:textId="201B0023" w:rsidR="003908FC" w:rsidRPr="00F306D5" w:rsidRDefault="00E51212" w:rsidP="00F306D5">
      <w:pPr>
        <w:pStyle w:val="ListParagraph"/>
        <w:numPr>
          <w:ilvl w:val="0"/>
          <w:numId w:val="3"/>
        </w:numPr>
        <w:spacing w:after="120"/>
        <w:rPr>
          <w:rFonts w:cstheme="minorHAnsi"/>
        </w:rPr>
      </w:pPr>
      <w:r w:rsidRPr="00E51212">
        <w:rPr>
          <w:rFonts w:cstheme="minorHAnsi"/>
          <w:u w:val="single"/>
        </w:rPr>
        <w:t>T</w:t>
      </w:r>
      <w:r>
        <w:rPr>
          <w:rFonts w:cstheme="minorHAnsi"/>
        </w:rPr>
        <w:t>ime-based – When will the goal be achieved?</w:t>
      </w:r>
    </w:p>
    <w:p w14:paraId="2E810485" w14:textId="285CA1A9" w:rsidR="00E51212" w:rsidRDefault="00E51212" w:rsidP="00964888">
      <w:pPr>
        <w:spacing w:after="120"/>
      </w:pPr>
      <w:r w:rsidRPr="00F306D5">
        <w:rPr>
          <w:u w:val="single"/>
        </w:rPr>
        <w:t>Example #1</w:t>
      </w:r>
      <w:r>
        <w:t xml:space="preserve">: </w:t>
      </w:r>
      <w:r w:rsidR="00F306D5">
        <w:t>Upon completion of the IET program, (1) 60% of participants obtain a high school equivalency (2) 90% of participants increase an educational functioning level (3) 60% of English learners transition out of English as a Second Language classes.</w:t>
      </w:r>
    </w:p>
    <w:p w14:paraId="528DC26D" w14:textId="542BA135" w:rsidR="00F306D5" w:rsidRDefault="00F306D5" w:rsidP="00964888">
      <w:pPr>
        <w:spacing w:after="120"/>
      </w:pPr>
      <w:r w:rsidRPr="00F306D5">
        <w:rPr>
          <w:u w:val="single"/>
        </w:rPr>
        <w:t>Example #</w:t>
      </w:r>
      <w:r>
        <w:rPr>
          <w:u w:val="single"/>
        </w:rPr>
        <w:t>2</w:t>
      </w:r>
      <w:r>
        <w:t xml:space="preserve">: </w:t>
      </w:r>
      <w:r w:rsidR="001C6D14">
        <w:t>Within 6 months, build an onramp for at least 10 adult education level 4 and 5 learners</w:t>
      </w:r>
      <w:r w:rsidR="005C3249">
        <w:t xml:space="preserve"> to enter a career pathway that results in employment with average wages of $35,000/per</w:t>
      </w:r>
      <w:r>
        <w:t>.</w:t>
      </w:r>
    </w:p>
    <w:p w14:paraId="35B742E3" w14:textId="76885DFF" w:rsidR="00F306D5" w:rsidRDefault="00F306D5" w:rsidP="007D157A">
      <w:pPr>
        <w:spacing w:after="0"/>
      </w:pPr>
      <w:r w:rsidRPr="00F306D5">
        <w:rPr>
          <w:u w:val="single"/>
        </w:rPr>
        <w:t>Example #</w:t>
      </w:r>
      <w:r w:rsidR="005C3249">
        <w:rPr>
          <w:u w:val="single"/>
        </w:rPr>
        <w:t>3</w:t>
      </w:r>
      <w:r>
        <w:t xml:space="preserve">: </w:t>
      </w:r>
      <w:r w:rsidR="005C3249">
        <w:t xml:space="preserve">In the second quarter after completion of the IET, </w:t>
      </w:r>
      <w:r w:rsidR="00964888">
        <w:t xml:space="preserve">(1) </w:t>
      </w:r>
      <w:r w:rsidR="005C3249">
        <w:t xml:space="preserve">95% of participants who received SNAP no longer need it (2) 65% </w:t>
      </w:r>
      <w:r w:rsidR="00F5356E">
        <w:t>of participants continue to a two-year college from our CBO (3) 70% find employment in a related occupation</w:t>
      </w:r>
      <w:r>
        <w:t>.</w:t>
      </w:r>
    </w:p>
    <w:sectPr w:rsidR="00F306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0CF6C" w14:textId="77777777" w:rsidR="00B40776" w:rsidRDefault="00B40776" w:rsidP="007D157A">
      <w:pPr>
        <w:spacing w:after="0" w:line="240" w:lineRule="auto"/>
      </w:pPr>
      <w:r>
        <w:separator/>
      </w:r>
    </w:p>
  </w:endnote>
  <w:endnote w:type="continuationSeparator" w:id="0">
    <w:p w14:paraId="2E7BC755" w14:textId="77777777" w:rsidR="00B40776" w:rsidRDefault="00B40776" w:rsidP="007D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FD07" w14:textId="77777777" w:rsidR="00B40776" w:rsidRDefault="00B40776" w:rsidP="007D157A">
      <w:pPr>
        <w:spacing w:after="0" w:line="240" w:lineRule="auto"/>
      </w:pPr>
      <w:r>
        <w:separator/>
      </w:r>
    </w:p>
  </w:footnote>
  <w:footnote w:type="continuationSeparator" w:id="0">
    <w:p w14:paraId="2F77D7A4" w14:textId="77777777" w:rsidR="00B40776" w:rsidRDefault="00B40776" w:rsidP="007D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4D44" w14:textId="77777777" w:rsidR="007D157A" w:rsidRPr="001E1B02" w:rsidRDefault="007D157A" w:rsidP="007D157A">
    <w:pPr>
      <w:pStyle w:val="Header"/>
      <w:rPr>
        <w:sz w:val="20"/>
        <w:szCs w:val="20"/>
      </w:rPr>
    </w:pPr>
    <w:r w:rsidRPr="001E1B02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5E4858C" wp14:editId="1AE4136B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922655" cy="664845"/>
          <wp:effectExtent l="0" t="0" r="0" b="1905"/>
          <wp:wrapSquare wrapText="bothSides"/>
          <wp:docPr id="2102316332" name="Picture 2102316332" descr="A logo with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316332" name="Picture 1" descr="A logo with blue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1B02">
      <w:rPr>
        <w:sz w:val="20"/>
        <w:szCs w:val="20"/>
      </w:rPr>
      <w:t>Wisconsin Integrated Education &amp; Training Design Camp</w:t>
    </w:r>
  </w:p>
  <w:p w14:paraId="1BA6EB31" w14:textId="4165E228" w:rsidR="007D157A" w:rsidRPr="001E1B02" w:rsidRDefault="007D157A" w:rsidP="007D157A">
    <w:pPr>
      <w:pStyle w:val="Header"/>
      <w:rPr>
        <w:sz w:val="20"/>
        <w:szCs w:val="20"/>
      </w:rPr>
    </w:pPr>
    <w:r w:rsidRPr="001E1B02">
      <w:rPr>
        <w:sz w:val="20"/>
        <w:szCs w:val="20"/>
      </w:rPr>
      <w:t>Learning Session #</w:t>
    </w:r>
    <w:r w:rsidR="009368E4">
      <w:rPr>
        <w:sz w:val="20"/>
        <w:szCs w:val="20"/>
      </w:rPr>
      <w:t>3</w:t>
    </w:r>
    <w:r w:rsidRPr="001E1B02">
      <w:rPr>
        <w:sz w:val="20"/>
        <w:szCs w:val="20"/>
      </w:rPr>
      <w:t xml:space="preserve"> </w:t>
    </w:r>
    <w:r w:rsidR="00097516">
      <w:rPr>
        <w:sz w:val="20"/>
        <w:szCs w:val="20"/>
      </w:rPr>
      <w:t>Establish an</w:t>
    </w:r>
    <w:r>
      <w:rPr>
        <w:sz w:val="20"/>
        <w:szCs w:val="20"/>
      </w:rPr>
      <w:t xml:space="preserve"> IET</w:t>
    </w:r>
    <w:r w:rsidR="00097516">
      <w:rPr>
        <w:sz w:val="20"/>
        <w:szCs w:val="20"/>
      </w:rPr>
      <w:t xml:space="preserve"> Foundation</w:t>
    </w:r>
    <w:r w:rsidRPr="001E1B02">
      <w:rPr>
        <w:sz w:val="20"/>
        <w:szCs w:val="20"/>
      </w:rPr>
      <w:t xml:space="preserve"> </w:t>
    </w:r>
  </w:p>
  <w:p w14:paraId="47A9FCEB" w14:textId="5D6AE214" w:rsidR="007D157A" w:rsidRPr="007D157A" w:rsidRDefault="00097516">
    <w:pPr>
      <w:pStyle w:val="Header"/>
      <w:rPr>
        <w:sz w:val="20"/>
        <w:szCs w:val="20"/>
      </w:rPr>
    </w:pPr>
    <w:r>
      <w:rPr>
        <w:sz w:val="20"/>
        <w:szCs w:val="20"/>
      </w:rPr>
      <w:t>Developing an IET Team &amp; Creating Goals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1B58"/>
    <w:multiLevelType w:val="hybridMultilevel"/>
    <w:tmpl w:val="C972C9DC"/>
    <w:lvl w:ilvl="0" w:tplc="416C423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95DCB"/>
    <w:multiLevelType w:val="hybridMultilevel"/>
    <w:tmpl w:val="1E62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45829"/>
    <w:multiLevelType w:val="multilevel"/>
    <w:tmpl w:val="C05A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77302">
    <w:abstractNumId w:val="2"/>
  </w:num>
  <w:num w:numId="2" w16cid:durableId="474495594">
    <w:abstractNumId w:val="1"/>
  </w:num>
  <w:num w:numId="3" w16cid:durableId="124739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94"/>
    <w:rsid w:val="00077694"/>
    <w:rsid w:val="00097516"/>
    <w:rsid w:val="00113180"/>
    <w:rsid w:val="001C6D14"/>
    <w:rsid w:val="002A11B8"/>
    <w:rsid w:val="002A2DBD"/>
    <w:rsid w:val="00340C8D"/>
    <w:rsid w:val="003601F7"/>
    <w:rsid w:val="00385937"/>
    <w:rsid w:val="003908FC"/>
    <w:rsid w:val="003A3EB6"/>
    <w:rsid w:val="00524057"/>
    <w:rsid w:val="00554750"/>
    <w:rsid w:val="0059175B"/>
    <w:rsid w:val="005C3249"/>
    <w:rsid w:val="005C4A96"/>
    <w:rsid w:val="005D1514"/>
    <w:rsid w:val="00653D34"/>
    <w:rsid w:val="006F4C1E"/>
    <w:rsid w:val="007540FB"/>
    <w:rsid w:val="00767A2B"/>
    <w:rsid w:val="007B656C"/>
    <w:rsid w:val="007D157A"/>
    <w:rsid w:val="007D1DFE"/>
    <w:rsid w:val="007E5A96"/>
    <w:rsid w:val="0083023F"/>
    <w:rsid w:val="009368E4"/>
    <w:rsid w:val="00964888"/>
    <w:rsid w:val="00A047D2"/>
    <w:rsid w:val="00B40776"/>
    <w:rsid w:val="00B710CA"/>
    <w:rsid w:val="00BB6755"/>
    <w:rsid w:val="00C34102"/>
    <w:rsid w:val="00D46E2C"/>
    <w:rsid w:val="00DB3A11"/>
    <w:rsid w:val="00E51212"/>
    <w:rsid w:val="00E60594"/>
    <w:rsid w:val="00E65BED"/>
    <w:rsid w:val="00E717A0"/>
    <w:rsid w:val="00E97A94"/>
    <w:rsid w:val="00F306D5"/>
    <w:rsid w:val="00F5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985A0"/>
  <w15:chartTrackingRefBased/>
  <w15:docId w15:val="{8BDF4A7E-25FC-440E-8B43-D50CE580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5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059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05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6059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15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57A"/>
  </w:style>
  <w:style w:type="paragraph" w:styleId="Footer">
    <w:name w:val="footer"/>
    <w:basedOn w:val="Normal"/>
    <w:link w:val="FooterChar"/>
    <w:uiPriority w:val="99"/>
    <w:unhideWhenUsed/>
    <w:rsid w:val="007D1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57A"/>
  </w:style>
  <w:style w:type="table" w:styleId="TableGrid">
    <w:name w:val="Table Grid"/>
    <w:basedOn w:val="TableNormal"/>
    <w:uiPriority w:val="39"/>
    <w:rsid w:val="00360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Konruff, Ben</dc:creator>
  <cp:keywords/>
  <dc:description/>
  <cp:lastModifiedBy>Parente, Cristina</cp:lastModifiedBy>
  <cp:revision>2</cp:revision>
  <dcterms:created xsi:type="dcterms:W3CDTF">2023-09-25T20:58:00Z</dcterms:created>
  <dcterms:modified xsi:type="dcterms:W3CDTF">2023-09-25T20:58:00Z</dcterms:modified>
</cp:coreProperties>
</file>