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 w:rsidP="001E5837">
      <w:pPr>
        <w:pStyle w:val="fr-view"/>
      </w:pPr>
      <w:r w:rsidRPr="005527EE">
        <w:t> </w:t>
      </w:r>
    </w:p>
    <w:p w:rsidR="00D9484A" w:rsidRPr="005527EE"/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 xml:space="preserve">10-804-135  Quantitative Reasoning 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fr-view"/>
            </w:pPr>
            <w:r w:rsidRPr="005527EE">
              <w:t>This course is intended to develop analytic reasoning and the ability to solve quantitative problems. Topics include logic, probability, descriptive and inferential statistics, linear and non-linear modeling, graphical representation, and functions.  The course emphasizes appropriate use of units, dimensions, estimates, mathematical notation, and technology.</w:t>
            </w:r>
          </w:p>
          <w:p w:rsidR="00D9484A" w:rsidRPr="005527EE"/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3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logical arguments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logical fallacies in popular arguments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arguments as inductive or deductive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inconsistencies in statistical arguments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test conditions and/or reasonableness of assumptions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Employ counting principles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the multiplication principle to determine the number of outcomes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the size of intersections, unions, and complements of sets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rules of counting in solving applied contexts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Utilize probability models and rules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theoretical and empirical probability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compute probability using the basic definition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compute the probability of joint and disjoint events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compute conditional probabilities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if two events are independent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Employ descriptive statistics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generate frequency distributions from a given data set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the mean, median, and mode of a distribution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interpret the mean, median, and mode as measures of central tendency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quartile and percentile ranks as measures of position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range, standard deviation, and interquartile range as measures of spread for a distribution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and interpret outliers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measures of central tendency and spread to compare and contrast two distributions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construct a modified box-and-whisker plot to summarize comparisons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language of probability to describe and evaluate statements involving risk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Apply inferential statistics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sampling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sources of bias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difference between correlation and causation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confounding variables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interpret a confidence interval in applied contexts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interpret a confidence interval to estimate a population parameter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interpret the error term for a confidence interval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Apply non-linear mathematical models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appropriate models for given data sets and applications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construct a non-linear model to fit source data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reasonable domain and range for a non-linear model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employ solution techniques to solve for an unknown value in the non-linear function model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utilize solutions to interpret results in an applied context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important characteristics of models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Develop graphical representations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plot points to construct the graph of a given equation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graphs in an applied context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construct pie charts, bar graphs, and line graphs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construct appropriate charts or graphs for specific scenarios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utilize function tables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employ calculators, spreadsheets, or other technological tools for construction of various graphs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construct scatterplots of bivariate data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Apply principles of measurement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appropriate units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convert units as needed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round values appropriately in an applied context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Apply linear mathematical models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 or Graphic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construct a linear model to fit source data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reasonable domain and range for a linear model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compute the slope and intercept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interpret the slope and intercept in an applied context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employ solution techniques to solve for an unknown value in the linear functional model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utilize solutions to interpret results in an applied context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Tuesday, December 17, 2024 2:40 PM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customStyle="1" w:styleId="fr-view">
    <w:name w:val="fr-view"/>
    <w:basedOn w:val="Normal"/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