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w:t>
      </w:r>
      <w:proofErr w:type="gramStart"/>
      <w:r w:rsidR="002501B9">
        <w:t>applies</w:t>
      </w:r>
      <w:proofErr w:type="gramEnd"/>
      <w:r w:rsidR="002501B9">
        <w:t xml:space="preserve"> to all grant categories)</w:t>
      </w:r>
    </w:p>
    <w:p w14:paraId="3FCD8BE8" w14:textId="0FBEE378" w:rsidR="00A428A8" w:rsidRDefault="00A428A8"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w:t>
      </w:r>
      <w:proofErr w:type="gramStart"/>
      <w:r w:rsidRPr="0078566E">
        <w:t>is</w:t>
      </w:r>
      <w:proofErr w:type="gramEnd"/>
      <w:r w:rsidRPr="0078566E">
        <w:t xml:space="preserve">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lastRenderedPageBreak/>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5B3226F1" w14:textId="50A74E88"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 xml:space="preserve">Can you provide a link to the </w:t>
      </w:r>
      <w:proofErr w:type="gramStart"/>
      <w:r>
        <w:rPr>
          <w:color w:val="2F5496" w:themeColor="accent1" w:themeShade="BF"/>
          <w:sz w:val="26"/>
          <w:szCs w:val="26"/>
        </w:rPr>
        <w:t>rubrics</w:t>
      </w:r>
      <w:proofErr w:type="gramEnd"/>
      <w:r>
        <w:rPr>
          <w:color w:val="2F5496" w:themeColor="accent1" w:themeShade="BF"/>
          <w:sz w:val="26"/>
          <w:szCs w:val="26"/>
        </w:rPr>
        <w:t>?</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w:t>
      </w:r>
      <w:proofErr w:type="gramStart"/>
      <w:r>
        <w:t>budget line</w:t>
      </w:r>
      <w:proofErr w:type="gramEnd"/>
      <w:r>
        <w:t xml:space="preserv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w:t>
      </w:r>
      <w:proofErr w:type="gramStart"/>
      <w:r>
        <w:t>have to</w:t>
      </w:r>
      <w:proofErr w:type="gramEnd"/>
      <w:r>
        <w:t xml:space="preserve">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lastRenderedPageBreak/>
        <w:t>Career Pathway</w:t>
      </w:r>
    </w:p>
    <w:p w14:paraId="50C825BC" w14:textId="445EB32F" w:rsidR="00A2005A" w:rsidRDefault="00311D7B" w:rsidP="00451831">
      <w:pPr>
        <w:pStyle w:val="Heading2"/>
        <w:numPr>
          <w:ilvl w:val="0"/>
          <w:numId w:val="23"/>
        </w:numPr>
      </w:pPr>
      <w:r w:rsidRPr="00311D7B">
        <w:t xml:space="preserve"> </w:t>
      </w:r>
      <w:r w:rsidR="00704747">
        <w:t xml:space="preserve">7/31/25 - </w:t>
      </w:r>
      <w:r w:rsidR="00A2005A" w:rsidRPr="00A2005A">
        <w:t xml:space="preserve">Does the Career Pathways grant still support mileage expenses? I noticed details were removed from the funds available and the additional limitations section but </w:t>
      </w:r>
      <w:r w:rsidR="00704747" w:rsidRPr="00A2005A">
        <w:t>were</w:t>
      </w:r>
      <w:r w:rsidR="00A2005A" w:rsidRPr="00A2005A">
        <w:t xml:space="preserve"> not specified as an allowable activity.</w:t>
      </w:r>
    </w:p>
    <w:p w14:paraId="6A5990C6" w14:textId="185EC2BE" w:rsidR="00A2005A" w:rsidRPr="00A2005A" w:rsidRDefault="00704747" w:rsidP="00A2005A">
      <w:bookmarkStart w:id="12" w:name="_Hlk204875270"/>
      <w:r>
        <w:t>Travel/mileage is still allowed; the limit was removed.</w:t>
      </w:r>
    </w:p>
    <w:bookmarkEnd w:id="12"/>
    <w:p w14:paraId="7CDD1D32" w14:textId="2FB3261F" w:rsidR="00444102" w:rsidRDefault="00311D7B" w:rsidP="00451831">
      <w:pPr>
        <w:pStyle w:val="Heading2"/>
        <w:numPr>
          <w:ilvl w:val="0"/>
          <w:numId w:val="23"/>
        </w:numPr>
      </w:pPr>
      <w:r w:rsidRPr="00311D7B">
        <w:t xml:space="preserve"> </w:t>
      </w:r>
      <w:r w:rsidR="00704747">
        <w:t xml:space="preserve">7/31/25 - </w:t>
      </w:r>
      <w:r w:rsidR="00A2005A" w:rsidRPr="00A2005A">
        <w:t xml:space="preserve">What is the deadline for WTCS program approval for programs that are supported by Career Pathways grants? Is it the same as Developing Markets, or different?  </w:t>
      </w:r>
      <w:r w:rsidR="00444102" w:rsidRPr="00444102">
        <w:t xml:space="preserve"> </w:t>
      </w:r>
    </w:p>
    <w:p w14:paraId="3E4FF73D" w14:textId="1CA99B15" w:rsidR="00311D7B" w:rsidRDefault="00A2005A" w:rsidP="00311D7B">
      <w:pPr>
        <w:spacing w:after="0"/>
      </w:pPr>
      <w:r>
        <w:t xml:space="preserve">The Guidelines state: </w:t>
      </w:r>
      <w:r w:rsidRPr="00A2005A">
        <w:t>All WTCS pathway program(s) and credentials included in the project must be in approved status by the System Office, identified by program name, number and date of official approval (i.e., Medical Assistant, 31-509-1, approved 03-01-2013) on the Career Pathway grant application. Program revisions in pending or disapproved status at the time of application are not allowed.</w:t>
      </w:r>
      <w:r>
        <w:t xml:space="preserve">  </w:t>
      </w:r>
      <w:r w:rsidRPr="00A2005A">
        <w:t>This means the program needs to be approved prior to application submission.</w:t>
      </w:r>
    </w:p>
    <w:p w14:paraId="05C98FED" w14:textId="18BE869D" w:rsidR="00444102" w:rsidRDefault="00444102" w:rsidP="00444102"/>
    <w:p w14:paraId="24D12284" w14:textId="67E55D8B" w:rsidR="009B38CD" w:rsidRPr="005C5350" w:rsidRDefault="009B38CD" w:rsidP="009B38CD">
      <w:pPr>
        <w:pStyle w:val="Heading1"/>
        <w:rPr>
          <w:b/>
          <w:bCs/>
        </w:rPr>
      </w:pPr>
      <w:bookmarkStart w:id="13" w:name="_Hlk111116981"/>
      <w:bookmarkEnd w:id="6"/>
      <w:bookmarkEnd w:id="7"/>
      <w:bookmarkEnd w:id="8"/>
      <w:r w:rsidRPr="005C5350">
        <w:rPr>
          <w:b/>
          <w:bCs/>
        </w:rPr>
        <w:t>Completion</w:t>
      </w:r>
    </w:p>
    <w:p w14:paraId="693C8129" w14:textId="58B932FE" w:rsidR="00A428A8" w:rsidRDefault="00A428A8" w:rsidP="00451831">
      <w:pPr>
        <w:pStyle w:val="Heading2"/>
        <w:numPr>
          <w:ilvl w:val="0"/>
          <w:numId w:val="17"/>
        </w:numPr>
        <w:spacing w:before="240"/>
      </w:pPr>
      <w:bookmarkStart w:id="14" w:name="_Hlk177382911"/>
      <w:bookmarkStart w:id="15" w:name="_Hlk151981462"/>
      <w:bookmarkStart w:id="16" w:name="_Hlk80711264"/>
    </w:p>
    <w:bookmarkEnd w:id="14"/>
    <w:p w14:paraId="5133ED44" w14:textId="6CEA931A" w:rsidR="00A428A8" w:rsidRDefault="00A428A8" w:rsidP="00A428A8">
      <w:r>
        <w:t xml:space="preserve"> </w:t>
      </w:r>
    </w:p>
    <w:p w14:paraId="02EA23D7" w14:textId="4DFBFC17" w:rsidR="008605C3" w:rsidRPr="008605C3" w:rsidRDefault="008605C3" w:rsidP="008605C3">
      <w:bookmarkStart w:id="17" w:name="_Hlk177382970"/>
    </w:p>
    <w:p w14:paraId="472760E2" w14:textId="7CB08E4B" w:rsidR="001176DD" w:rsidRPr="005C5350" w:rsidRDefault="001176DD" w:rsidP="001176DD">
      <w:pPr>
        <w:pStyle w:val="Heading1"/>
        <w:rPr>
          <w:b/>
          <w:bCs/>
        </w:rPr>
      </w:pPr>
      <w:bookmarkStart w:id="18" w:name="_Hlk111117035"/>
      <w:bookmarkEnd w:id="13"/>
      <w:bookmarkEnd w:id="15"/>
      <w:bookmarkEnd w:id="16"/>
      <w:bookmarkEnd w:id="17"/>
      <w:r w:rsidRPr="005C5350">
        <w:rPr>
          <w:b/>
          <w:bCs/>
        </w:rPr>
        <w:t>Core Industry</w:t>
      </w:r>
    </w:p>
    <w:p w14:paraId="397DE76C" w14:textId="07A25DA1" w:rsidR="00BE7319" w:rsidRDefault="00BE7319"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bookmarkStart w:id="19" w:name="_Hlk175504140"/>
      <w:bookmarkStart w:id="20" w:name="_Hlk82171878"/>
      <w:r>
        <w:rPr>
          <w:rFonts w:asciiTheme="majorHAnsi" w:eastAsiaTheme="majorEastAsia" w:hAnsiTheme="majorHAnsi" w:cstheme="majorBidi"/>
          <w:color w:val="2F5496" w:themeColor="accent1" w:themeShade="BF"/>
          <w:sz w:val="26"/>
          <w:szCs w:val="26"/>
        </w:rPr>
        <w:t xml:space="preserve">7/30/25 – Can the Core grant be used to </w:t>
      </w:r>
      <w:r w:rsidRPr="00BE7319">
        <w:rPr>
          <w:rFonts w:asciiTheme="majorHAnsi" w:eastAsiaTheme="majorEastAsia" w:hAnsiTheme="majorHAnsi" w:cstheme="majorBidi"/>
          <w:color w:val="2F5496" w:themeColor="accent1" w:themeShade="BF"/>
          <w:sz w:val="26"/>
          <w:szCs w:val="26"/>
        </w:rPr>
        <w:t xml:space="preserve">create an ITS (Individualized Technical Studies) degree </w:t>
      </w:r>
    </w:p>
    <w:p w14:paraId="74B00796" w14:textId="77777777" w:rsidR="00BE7319" w:rsidRPr="00BE7319" w:rsidRDefault="00BE7319" w:rsidP="00BE7319">
      <w:pPr>
        <w:rPr>
          <w:rFonts w:cstheme="minorHAnsi"/>
        </w:rPr>
      </w:pPr>
      <w:r w:rsidRPr="00BE7319">
        <w:rPr>
          <w:rFonts w:cstheme="minorHAnsi"/>
        </w:rPr>
        <w:t>The short answer is no, ITS do not qualify for inclusion in Core Industry grants.</w:t>
      </w:r>
    </w:p>
    <w:p w14:paraId="046273A0" w14:textId="77777777" w:rsidR="00BE7319" w:rsidRPr="00BE7319" w:rsidRDefault="00BE7319" w:rsidP="00BE7319">
      <w:pPr>
        <w:rPr>
          <w:rFonts w:cstheme="minorHAnsi"/>
        </w:rPr>
      </w:pPr>
      <w:r w:rsidRPr="00BE7319">
        <w:rPr>
          <w:rFonts w:cstheme="minorHAnsi"/>
        </w:rPr>
        <w:t xml:space="preserve">The longer answer is that ITS are not named in Core Industry grant guidelines as allowable, and I will explain a little bit about why that is the case: </w:t>
      </w:r>
    </w:p>
    <w:p w14:paraId="57C51931" w14:textId="77777777" w:rsidR="00BE7319" w:rsidRPr="00BE7319" w:rsidRDefault="00BE7319" w:rsidP="00BE7319">
      <w:pPr>
        <w:pStyle w:val="ListParagraph"/>
        <w:numPr>
          <w:ilvl w:val="0"/>
          <w:numId w:val="28"/>
        </w:numPr>
        <w:spacing w:after="0" w:line="240" w:lineRule="auto"/>
        <w:contextualSpacing w:val="0"/>
        <w:rPr>
          <w:rFonts w:eastAsia="Times New Roman" w:cstheme="minorHAnsi"/>
        </w:rPr>
      </w:pPr>
      <w:r w:rsidRPr="00BE7319">
        <w:rPr>
          <w:rFonts w:eastAsia="Times New Roman" w:cstheme="minorHAnsi"/>
          <w:b/>
          <w:bCs/>
        </w:rPr>
        <w:t>ITS are not WTCS Board-approved programs and thus do not meet the “prior approval” program requirements outlined in Core Industry grant guidelines.</w:t>
      </w:r>
      <w:r w:rsidRPr="00BE7319">
        <w:rPr>
          <w:rFonts w:eastAsia="Times New Roman" w:cstheme="minorHAnsi"/>
        </w:rPr>
        <w:t xml:space="preserve"> ITS are special-case associate degrees offered and documented by colleges and recognized internally by the System Office, but do not exist as formally approved WTCS programs with open student enrollment and completions. </w:t>
      </w:r>
    </w:p>
    <w:p w14:paraId="3F6453E7" w14:textId="77777777" w:rsidR="00BE7319" w:rsidRPr="00BE7319" w:rsidRDefault="00BE7319" w:rsidP="00BE7319">
      <w:pPr>
        <w:pStyle w:val="ListParagraph"/>
        <w:numPr>
          <w:ilvl w:val="0"/>
          <w:numId w:val="28"/>
        </w:numPr>
        <w:spacing w:line="240" w:lineRule="auto"/>
        <w:contextualSpacing w:val="0"/>
        <w:rPr>
          <w:rFonts w:eastAsia="Times New Roman" w:cstheme="minorHAnsi"/>
        </w:rPr>
      </w:pPr>
      <w:r w:rsidRPr="00BE7319">
        <w:rPr>
          <w:rFonts w:eastAsia="Times New Roman" w:cstheme="minorHAnsi"/>
          <w:b/>
          <w:bCs/>
        </w:rPr>
        <w:t>ITS are intended to serve a single student who would not otherwise be able to attain the desired education by taking any other program or combination of programs offered by the college.</w:t>
      </w:r>
      <w:r w:rsidRPr="00BE7319">
        <w:rPr>
          <w:rFonts w:eastAsia="Times New Roman" w:cstheme="minorHAnsi"/>
        </w:rPr>
        <w:t xml:space="preserve"> ITS must </w:t>
      </w:r>
      <w:proofErr w:type="gramStart"/>
      <w:r w:rsidRPr="00BE7319">
        <w:rPr>
          <w:rFonts w:eastAsia="Times New Roman" w:cstheme="minorHAnsi"/>
        </w:rPr>
        <w:t>not supersede</w:t>
      </w:r>
      <w:proofErr w:type="gramEnd"/>
      <w:r w:rsidRPr="00BE7319">
        <w:rPr>
          <w:rFonts w:eastAsia="Times New Roman" w:cstheme="minorHAnsi"/>
        </w:rPr>
        <w:t xml:space="preserve"> existing WTCS-approved programs, and they should not be created with the intent of open enrollment; program areas that are new and might be relevant and useful to a larger population as indicated by industry demand should follow the standard program approval process or be organized as a local certificate.</w:t>
      </w:r>
    </w:p>
    <w:p w14:paraId="4AC24E49" w14:textId="77777777" w:rsidR="00BE7319" w:rsidRPr="00BE7319" w:rsidRDefault="00BE7319" w:rsidP="00BE7319">
      <w:pPr>
        <w:rPr>
          <w:rFonts w:cstheme="minorHAnsi"/>
        </w:rPr>
      </w:pPr>
      <w:proofErr w:type="gramStart"/>
      <w:r w:rsidRPr="00BE7319">
        <w:rPr>
          <w:rFonts w:cstheme="minorHAnsi"/>
        </w:rPr>
        <w:t>All of</w:t>
      </w:r>
      <w:proofErr w:type="gramEnd"/>
      <w:r w:rsidRPr="00BE7319">
        <w:rPr>
          <w:rFonts w:cstheme="minorHAnsi"/>
        </w:rPr>
        <w:t xml:space="preserve"> that being said, a college could create a Core Industry grant application for a qualifying, existing, WTCS-approved program and feature pathway development as an activity. Simply put, you could do </w:t>
      </w:r>
      <w:r w:rsidRPr="00BE7319">
        <w:rPr>
          <w:rFonts w:cstheme="minorHAnsi"/>
        </w:rPr>
        <w:lastRenderedPageBreak/>
        <w:t>curriculum work to the primary program to set it up for pathway expansion and/or ease of progression along the pathway. You could not create an ITS, however.</w:t>
      </w:r>
    </w:p>
    <w:p w14:paraId="2E450A33" w14:textId="77777777" w:rsidR="00BE7319" w:rsidRPr="00BE7319" w:rsidRDefault="00BE7319" w:rsidP="00BE7319">
      <w:pPr>
        <w:rPr>
          <w:rFonts w:asciiTheme="majorHAnsi" w:eastAsiaTheme="majorEastAsia" w:hAnsiTheme="majorHAnsi" w:cstheme="majorBidi"/>
          <w:color w:val="2F5496" w:themeColor="accent1" w:themeShade="BF"/>
          <w:sz w:val="26"/>
          <w:szCs w:val="26"/>
        </w:rPr>
      </w:pPr>
    </w:p>
    <w:p w14:paraId="48CE6EB8" w14:textId="258E2C6C" w:rsidR="009B3950" w:rsidRDefault="009B3950" w:rsidP="00451831">
      <w:pPr>
        <w:pStyle w:val="Heading2"/>
        <w:numPr>
          <w:ilvl w:val="0"/>
          <w:numId w:val="24"/>
        </w:numPr>
      </w:pPr>
    </w:p>
    <w:p w14:paraId="327A5ABE" w14:textId="068AEF91" w:rsidR="009B3950" w:rsidRDefault="009B3950" w:rsidP="009B3950">
      <w:r>
        <w:t xml:space="preserve"> </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19"/>
      <w:bookmarkEnd w:id="18"/>
      <w:bookmarkEnd w:id="20"/>
    </w:p>
    <w:p w14:paraId="5763009D" w14:textId="5387804C" w:rsidR="008C6B6F" w:rsidRPr="009E5C15" w:rsidRDefault="006972F0" w:rsidP="009E5C15">
      <w:pPr>
        <w:pStyle w:val="Heading1"/>
        <w:rPr>
          <w:b/>
          <w:bCs/>
        </w:rPr>
      </w:pPr>
      <w:bookmarkStart w:id="21" w:name="_Hlk111117262"/>
      <w:r w:rsidRPr="005C5350">
        <w:rPr>
          <w:b/>
          <w:bCs/>
        </w:rPr>
        <w:t>Developing Markets</w:t>
      </w:r>
    </w:p>
    <w:p w14:paraId="1F0014DF" w14:textId="55D4CAEA" w:rsidR="009B3950" w:rsidRDefault="000A18F2" w:rsidP="00451831">
      <w:pPr>
        <w:pStyle w:val="Heading2"/>
        <w:numPr>
          <w:ilvl w:val="0"/>
          <w:numId w:val="25"/>
        </w:numPr>
      </w:pPr>
      <w:bookmarkStart w:id="22" w:name="_Hlk179310978"/>
      <w:bookmarkStart w:id="23" w:name="_Hlk153890751"/>
      <w:bookmarkStart w:id="24" w:name="_Hlk84413081"/>
      <w:r>
        <w:t xml:space="preserve">7/31/25 - </w:t>
      </w:r>
      <w:r w:rsidRPr="000A18F2">
        <w:t>For the Developing Markets grant category, can multiple programs be funded in a single application for $200,000?</w:t>
      </w:r>
    </w:p>
    <w:p w14:paraId="34F681D4" w14:textId="2E258AD8" w:rsidR="009B3950" w:rsidRDefault="000A18F2" w:rsidP="009B3950">
      <w:r>
        <w:t>Based on verbiage used in the guidelines referring to “a” or “the” program, only one program may be funded per application.</w:t>
      </w:r>
    </w:p>
    <w:p w14:paraId="35B5190C" w14:textId="6DDDEFE8" w:rsidR="00F56E48" w:rsidRDefault="00A2005A" w:rsidP="00451831">
      <w:pPr>
        <w:pStyle w:val="Heading2"/>
        <w:numPr>
          <w:ilvl w:val="0"/>
          <w:numId w:val="25"/>
        </w:numPr>
      </w:pPr>
      <w:bookmarkStart w:id="25" w:name="_Hlk179282686"/>
      <w:r w:rsidRPr="00A2005A">
        <w:t xml:space="preserve">Can a college run more than one section of a course for one-time delivery funding support as part of a Developing Market request? </w:t>
      </w:r>
      <w:r w:rsidR="00704747" w:rsidRPr="00A2005A">
        <w:t>Or</w:t>
      </w:r>
      <w:r w:rsidRPr="00A2005A">
        <w:t xml:space="preserve"> would only one section of the course be covered under the grant?</w:t>
      </w:r>
    </w:p>
    <w:p w14:paraId="7F8EAE9B" w14:textId="56B42BAC" w:rsidR="00F56E48" w:rsidRPr="006E41DE" w:rsidRDefault="00F56E48" w:rsidP="00F56E48">
      <w:bookmarkStart w:id="26" w:name="_Hlk179284433"/>
    </w:p>
    <w:bookmarkEnd w:id="25"/>
    <w:bookmarkEnd w:id="26"/>
    <w:bookmarkEnd w:id="22"/>
    <w:p w14:paraId="1F9CCA81" w14:textId="011EF607" w:rsidR="005E09C9" w:rsidRDefault="005E09C9" w:rsidP="00451831">
      <w:pPr>
        <w:pStyle w:val="Heading2"/>
        <w:numPr>
          <w:ilvl w:val="0"/>
          <w:numId w:val="25"/>
        </w:numPr>
      </w:pPr>
    </w:p>
    <w:bookmarkEnd w:id="23"/>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7" w:name="_Hlk111117375"/>
      <w:bookmarkEnd w:id="21"/>
      <w:bookmarkEnd w:id="24"/>
      <w:r>
        <w:rPr>
          <w:b/>
          <w:bCs/>
        </w:rPr>
        <w:t xml:space="preserve">Emergency Assistance </w:t>
      </w:r>
    </w:p>
    <w:p w14:paraId="6470F22C" w14:textId="706B2C2B" w:rsidR="00627642" w:rsidRDefault="00627642" w:rsidP="00451831">
      <w:pPr>
        <w:pStyle w:val="Heading2"/>
        <w:numPr>
          <w:ilvl w:val="0"/>
          <w:numId w:val="13"/>
        </w:numPr>
      </w:pP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901BBD3" w14:textId="23AACFED" w:rsidR="00077EFD" w:rsidRPr="005C5350" w:rsidRDefault="00077EFD" w:rsidP="00077EFD">
      <w:pPr>
        <w:pStyle w:val="Heading1"/>
        <w:rPr>
          <w:b/>
          <w:bCs/>
        </w:rPr>
      </w:pPr>
      <w:r w:rsidRPr="005C5350">
        <w:rPr>
          <w:b/>
          <w:bCs/>
        </w:rPr>
        <w:t>IET Development &amp; Expansion</w:t>
      </w:r>
    </w:p>
    <w:p w14:paraId="2D8CED45" w14:textId="2205F485" w:rsidR="00DE11C5" w:rsidRDefault="00A82D62" w:rsidP="00451831">
      <w:pPr>
        <w:pStyle w:val="Heading2"/>
        <w:numPr>
          <w:ilvl w:val="0"/>
          <w:numId w:val="5"/>
        </w:numPr>
        <w:spacing w:before="240"/>
      </w:pPr>
      <w:bookmarkStart w:id="28" w:name="_Hlk143267663"/>
      <w:r>
        <w:t xml:space="preserve">7/29/2025 - </w:t>
      </w:r>
      <w:r w:rsidR="00283E0B">
        <w:t>What is considered a student barrier?</w:t>
      </w:r>
    </w:p>
    <w:bookmarkEnd w:id="28"/>
    <w:p w14:paraId="4244E792" w14:textId="01D1DFB6" w:rsidR="00095914" w:rsidRDefault="00095914" w:rsidP="00283E0B">
      <w:pPr>
        <w:spacing w:after="240" w:line="240" w:lineRule="auto"/>
      </w:pPr>
      <w:r>
        <w:t>F</w:t>
      </w:r>
      <w:r w:rsidRPr="00095914">
        <w:t xml:space="preserve">or the purposes of the IET </w:t>
      </w:r>
      <w:r>
        <w:t xml:space="preserve">Development and Expansion </w:t>
      </w:r>
      <w:r w:rsidRPr="00095914">
        <w:t xml:space="preserve">grant, </w:t>
      </w:r>
      <w:r w:rsidR="00A82D62">
        <w:t xml:space="preserve">the 10% limit for </w:t>
      </w:r>
      <w:r w:rsidRPr="00095914">
        <w:t xml:space="preserve">student barriers </w:t>
      </w:r>
      <w:r w:rsidR="00A82D62">
        <w:t>is restricted to u</w:t>
      </w:r>
      <w:r w:rsidRPr="00095914">
        <w:t>nexpected emergencies or situations which may make it difficult for a student to attend classes or complete the program. Allowable expenses may include—but are not limited to—transportation assistance, emergency childcare, temporary housing support, or other urgent needs that directly impact a student’s ability to participate in and complete their IET program.</w:t>
      </w:r>
      <w:r>
        <w:t xml:space="preserve"> These expenses would go in line 8.0 – Other. </w:t>
      </w:r>
    </w:p>
    <w:p w14:paraId="059E54B2" w14:textId="77777777" w:rsidR="00095914" w:rsidRDefault="00283E0B" w:rsidP="00283E0B">
      <w:pPr>
        <w:spacing w:after="240" w:line="240" w:lineRule="auto"/>
      </w:pPr>
      <w:r>
        <w:lastRenderedPageBreak/>
        <w:t xml:space="preserve">A student barrier </w:t>
      </w:r>
      <w:r w:rsidR="00095914">
        <w:t xml:space="preserve">could also be basic needs to complete the courses within a program. </w:t>
      </w:r>
      <w:r>
        <w:t>C</w:t>
      </w:r>
      <w:r w:rsidRPr="009725DE">
        <w:t>ourse instructional materials</w:t>
      </w:r>
      <w:r>
        <w:t xml:space="preserve"> or supplies (welding protective clothing, scrubs)</w:t>
      </w:r>
      <w:r w:rsidRPr="009725DE">
        <w:t xml:space="preserve">, etc. </w:t>
      </w:r>
      <w:r>
        <w:t xml:space="preserve">would be listed in line 7.0-Supplies. </w:t>
      </w:r>
    </w:p>
    <w:p w14:paraId="7386D975" w14:textId="49D0D48D" w:rsidR="00283E0B" w:rsidRPr="00283E0B" w:rsidRDefault="00283E0B" w:rsidP="00283E0B">
      <w:pPr>
        <w:spacing w:after="240" w:line="240" w:lineRule="auto"/>
      </w:pPr>
      <w:r>
        <w:t xml:space="preserve">All expenses must be necessary, reasonable and aligned with the </w:t>
      </w:r>
      <w:r w:rsidR="00A82D62">
        <w:t xml:space="preserve">goals of the </w:t>
      </w:r>
      <w:r>
        <w:t>grant.</w:t>
      </w:r>
      <w:r w:rsidRPr="00283E0B">
        <w:rPr>
          <w:i/>
          <w:iCs/>
        </w:rPr>
        <w:t xml:space="preserve"> </w:t>
      </w:r>
    </w:p>
    <w:p w14:paraId="40778257" w14:textId="197A6A38" w:rsidR="004315A2" w:rsidRPr="004315A2" w:rsidRDefault="004315A2" w:rsidP="00103CA4"/>
    <w:p w14:paraId="1ACE1B7F" w14:textId="6A43BA75" w:rsidR="000823A3" w:rsidRDefault="000823A3" w:rsidP="00044B38">
      <w:pPr>
        <w:pStyle w:val="Heading1"/>
      </w:pPr>
      <w:bookmarkStart w:id="29" w:name="_Hlk111117474"/>
      <w:bookmarkEnd w:id="27"/>
      <w:r w:rsidRPr="005C5350">
        <w:rPr>
          <w:b/>
          <w:bCs/>
        </w:rPr>
        <w:t>Workforce Advancement Training</w:t>
      </w:r>
      <w:r>
        <w:t xml:space="preserve"> (WAT)</w:t>
      </w:r>
    </w:p>
    <w:p w14:paraId="35BDB9FC" w14:textId="38853846" w:rsidR="001B0805" w:rsidRDefault="001B0805" w:rsidP="00451831">
      <w:pPr>
        <w:pStyle w:val="Heading2"/>
        <w:numPr>
          <w:ilvl w:val="0"/>
          <w:numId w:val="8"/>
        </w:numPr>
      </w:pPr>
      <w:bookmarkStart w:id="30" w:name="_Hlk158708488"/>
    </w:p>
    <w:p w14:paraId="16F0B6A0" w14:textId="053F181C" w:rsidR="009D3937" w:rsidRPr="009D3937" w:rsidRDefault="009D3937" w:rsidP="009D3937"/>
    <w:bookmarkEnd w:id="29"/>
    <w:bookmarkEnd w:id="30"/>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1" w:name="_Hlk111117618"/>
      <w:bookmarkStart w:id="32" w:name="_Hlk89681472"/>
      <w:r>
        <w:rPr>
          <w:b/>
          <w:bCs/>
        </w:rPr>
        <w:t>Targeting Attainment Gaps</w:t>
      </w:r>
    </w:p>
    <w:bookmarkEnd w:id="31"/>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2"/>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3"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3"/>
    <w:p w14:paraId="682FDAF0" w14:textId="1E38F457" w:rsidR="00497191" w:rsidRPr="005C5350" w:rsidRDefault="00497191" w:rsidP="00497191">
      <w:pPr>
        <w:pStyle w:val="Heading1"/>
        <w:rPr>
          <w:b/>
          <w:bCs/>
        </w:rPr>
      </w:pPr>
      <w:r w:rsidRPr="005C5350">
        <w:rPr>
          <w:b/>
          <w:bCs/>
        </w:rPr>
        <w:lastRenderedPageBreak/>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7623DDCF" w:rsidR="00F35495" w:rsidRDefault="00F35495" w:rsidP="00451831">
      <w:pPr>
        <w:pStyle w:val="Heading2"/>
        <w:numPr>
          <w:ilvl w:val="0"/>
          <w:numId w:val="12"/>
        </w:numPr>
        <w:spacing w:before="240"/>
      </w:pP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 xml:space="preserve">Is there a way to </w:t>
      </w:r>
      <w:proofErr w:type="gramStart"/>
      <w:r>
        <w:t>search</w:t>
      </w:r>
      <w:proofErr w:type="gramEnd"/>
      <w:r>
        <w:t xml:space="preserve">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6F6979"/>
    <w:multiLevelType w:val="hybridMultilevel"/>
    <w:tmpl w:val="25C2E7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44B9E"/>
    <w:multiLevelType w:val="multilevel"/>
    <w:tmpl w:val="32682BE0"/>
    <w:lvl w:ilvl="0">
      <w:start w:val="1"/>
      <w:numFmt w:val="bullet"/>
      <w:lvlText w:val=""/>
      <w:lvlJc w:val="left"/>
      <w:pPr>
        <w:ind w:left="475" w:hanging="475"/>
      </w:pPr>
      <w:rPr>
        <w:rFonts w:ascii="Symbol" w:hAnsi="Symbol" w:hint="default"/>
      </w:rPr>
    </w:lvl>
    <w:lvl w:ilvl="1">
      <w:start w:val="1"/>
      <w:numFmt w:val="bullet"/>
      <w:lvlText w:val="o"/>
      <w:lvlJc w:val="left"/>
      <w:pPr>
        <w:ind w:left="950" w:hanging="475"/>
      </w:pPr>
      <w:rPr>
        <w:rFonts w:ascii="Courier New" w:hAnsi="Courier New" w:cs="Courier New" w:hint="default"/>
      </w:rPr>
    </w:lvl>
    <w:lvl w:ilvl="2">
      <w:start w:val="1"/>
      <w:numFmt w:val="lowerRoman"/>
      <w:lvlText w:val="%3)"/>
      <w:lvlJc w:val="left"/>
      <w:pPr>
        <w:ind w:left="1425" w:hanging="475"/>
      </w:pPr>
      <w:rPr>
        <w:rFonts w:hint="default"/>
      </w:rPr>
    </w:lvl>
    <w:lvl w:ilvl="3">
      <w:start w:val="1"/>
      <w:numFmt w:val="none"/>
      <w:lvlText w:val=""/>
      <w:lvlJc w:val="left"/>
      <w:pPr>
        <w:ind w:left="1900" w:hanging="475"/>
      </w:pPr>
      <w:rPr>
        <w:rFonts w:hint="default"/>
      </w:rPr>
    </w:lvl>
    <w:lvl w:ilvl="4">
      <w:start w:val="1"/>
      <w:numFmt w:val="none"/>
      <w:lvlText w:val=""/>
      <w:lvlJc w:val="left"/>
      <w:pPr>
        <w:ind w:left="2375" w:hanging="475"/>
      </w:pPr>
      <w:rPr>
        <w:rFonts w:hint="default"/>
      </w:rPr>
    </w:lvl>
    <w:lvl w:ilvl="5">
      <w:start w:val="1"/>
      <w:numFmt w:val="none"/>
      <w:lvlText w:val=""/>
      <w:lvlJc w:val="left"/>
      <w:pPr>
        <w:ind w:left="2850" w:hanging="475"/>
      </w:pPr>
      <w:rPr>
        <w:rFonts w:hint="default"/>
      </w:rPr>
    </w:lvl>
    <w:lvl w:ilvl="6">
      <w:start w:val="1"/>
      <w:numFmt w:val="none"/>
      <w:lvlText w:val=""/>
      <w:lvlJc w:val="left"/>
      <w:pPr>
        <w:ind w:left="3325" w:hanging="475"/>
      </w:pPr>
      <w:rPr>
        <w:rFonts w:hint="default"/>
      </w:rPr>
    </w:lvl>
    <w:lvl w:ilvl="7">
      <w:start w:val="1"/>
      <w:numFmt w:val="none"/>
      <w:lvlText w:val=""/>
      <w:lvlJc w:val="left"/>
      <w:pPr>
        <w:ind w:left="3800" w:hanging="475"/>
      </w:pPr>
      <w:rPr>
        <w:rFonts w:hint="default"/>
      </w:rPr>
    </w:lvl>
    <w:lvl w:ilvl="8">
      <w:start w:val="1"/>
      <w:numFmt w:val="none"/>
      <w:lvlText w:val=""/>
      <w:lvlJc w:val="left"/>
      <w:pPr>
        <w:ind w:left="4275" w:hanging="475"/>
      </w:pPr>
      <w:rPr>
        <w:rFonts w:hint="default"/>
      </w:rPr>
    </w:lvl>
  </w:abstractNum>
  <w:abstractNum w:abstractNumId="23"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5"/>
  </w:num>
  <w:num w:numId="2" w16cid:durableId="1042246565">
    <w:abstractNumId w:val="17"/>
  </w:num>
  <w:num w:numId="3" w16cid:durableId="1564176305">
    <w:abstractNumId w:val="1"/>
  </w:num>
  <w:num w:numId="4" w16cid:durableId="387730209">
    <w:abstractNumId w:val="27"/>
  </w:num>
  <w:num w:numId="5" w16cid:durableId="1321155326">
    <w:abstractNumId w:val="11"/>
  </w:num>
  <w:num w:numId="6" w16cid:durableId="1638609195">
    <w:abstractNumId w:val="3"/>
  </w:num>
  <w:num w:numId="7" w16cid:durableId="179976953">
    <w:abstractNumId w:val="0"/>
  </w:num>
  <w:num w:numId="8" w16cid:durableId="1209032428">
    <w:abstractNumId w:val="19"/>
  </w:num>
  <w:num w:numId="9" w16cid:durableId="1191188203">
    <w:abstractNumId w:val="25"/>
  </w:num>
  <w:num w:numId="10" w16cid:durableId="1137188769">
    <w:abstractNumId w:val="15"/>
  </w:num>
  <w:num w:numId="11" w16cid:durableId="1734934673">
    <w:abstractNumId w:val="18"/>
  </w:num>
  <w:num w:numId="12" w16cid:durableId="20395662">
    <w:abstractNumId w:val="6"/>
  </w:num>
  <w:num w:numId="13" w16cid:durableId="1465076278">
    <w:abstractNumId w:val="13"/>
  </w:num>
  <w:num w:numId="14" w16cid:durableId="989209955">
    <w:abstractNumId w:val="9"/>
  </w:num>
  <w:num w:numId="15" w16cid:durableId="2013491261">
    <w:abstractNumId w:val="8"/>
  </w:num>
  <w:num w:numId="16" w16cid:durableId="1143082782">
    <w:abstractNumId w:val="14"/>
  </w:num>
  <w:num w:numId="17" w16cid:durableId="2017152145">
    <w:abstractNumId w:val="24"/>
  </w:num>
  <w:num w:numId="18" w16cid:durableId="1789083256">
    <w:abstractNumId w:val="7"/>
  </w:num>
  <w:num w:numId="19" w16cid:durableId="494301437">
    <w:abstractNumId w:val="20"/>
  </w:num>
  <w:num w:numId="20" w16cid:durableId="1546137703">
    <w:abstractNumId w:val="26"/>
  </w:num>
  <w:num w:numId="21" w16cid:durableId="132794624">
    <w:abstractNumId w:val="10"/>
  </w:num>
  <w:num w:numId="22" w16cid:durableId="1428426212">
    <w:abstractNumId w:val="4"/>
  </w:num>
  <w:num w:numId="23" w16cid:durableId="917322207">
    <w:abstractNumId w:val="21"/>
  </w:num>
  <w:num w:numId="24" w16cid:durableId="1539512720">
    <w:abstractNumId w:val="2"/>
  </w:num>
  <w:num w:numId="25" w16cid:durableId="400835333">
    <w:abstractNumId w:val="23"/>
  </w:num>
  <w:num w:numId="26" w16cid:durableId="34816433">
    <w:abstractNumId w:val="16"/>
  </w:num>
  <w:num w:numId="27" w16cid:durableId="538014161">
    <w:abstractNumId w:val="22"/>
  </w:num>
  <w:num w:numId="28" w16cid:durableId="86555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95914"/>
    <w:rsid w:val="000A18F2"/>
    <w:rsid w:val="000B337E"/>
    <w:rsid w:val="000C3F3F"/>
    <w:rsid w:val="000C71F0"/>
    <w:rsid w:val="000C74AE"/>
    <w:rsid w:val="000D0B98"/>
    <w:rsid w:val="000D4B02"/>
    <w:rsid w:val="000D5D95"/>
    <w:rsid w:val="000E40C3"/>
    <w:rsid w:val="000F7245"/>
    <w:rsid w:val="00100DF9"/>
    <w:rsid w:val="00103CA4"/>
    <w:rsid w:val="001150B8"/>
    <w:rsid w:val="001176DD"/>
    <w:rsid w:val="00120E4C"/>
    <w:rsid w:val="00127E6F"/>
    <w:rsid w:val="00153D49"/>
    <w:rsid w:val="001548E4"/>
    <w:rsid w:val="0017686C"/>
    <w:rsid w:val="00182C0D"/>
    <w:rsid w:val="001835B4"/>
    <w:rsid w:val="00186BE0"/>
    <w:rsid w:val="001A2852"/>
    <w:rsid w:val="001B0805"/>
    <w:rsid w:val="001B34AF"/>
    <w:rsid w:val="001B4BA6"/>
    <w:rsid w:val="001C03FE"/>
    <w:rsid w:val="001D5226"/>
    <w:rsid w:val="001D7783"/>
    <w:rsid w:val="001F318D"/>
    <w:rsid w:val="00207A5D"/>
    <w:rsid w:val="00214E4C"/>
    <w:rsid w:val="00215048"/>
    <w:rsid w:val="00224626"/>
    <w:rsid w:val="00224B22"/>
    <w:rsid w:val="0023286C"/>
    <w:rsid w:val="002501B9"/>
    <w:rsid w:val="00256A0C"/>
    <w:rsid w:val="002570DA"/>
    <w:rsid w:val="00262900"/>
    <w:rsid w:val="00263778"/>
    <w:rsid w:val="00264529"/>
    <w:rsid w:val="00274C45"/>
    <w:rsid w:val="002753EA"/>
    <w:rsid w:val="00280A61"/>
    <w:rsid w:val="00280DE6"/>
    <w:rsid w:val="00282130"/>
    <w:rsid w:val="0028327F"/>
    <w:rsid w:val="00283E0B"/>
    <w:rsid w:val="002A1D21"/>
    <w:rsid w:val="002A3023"/>
    <w:rsid w:val="002A4AB6"/>
    <w:rsid w:val="002A60D4"/>
    <w:rsid w:val="002B4A5B"/>
    <w:rsid w:val="002B72AA"/>
    <w:rsid w:val="002D32F4"/>
    <w:rsid w:val="002D44F6"/>
    <w:rsid w:val="00311558"/>
    <w:rsid w:val="00311D7B"/>
    <w:rsid w:val="003131D3"/>
    <w:rsid w:val="00321AC6"/>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7191"/>
    <w:rsid w:val="004A3F75"/>
    <w:rsid w:val="004B01A1"/>
    <w:rsid w:val="004B39D3"/>
    <w:rsid w:val="004C78A9"/>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972F0"/>
    <w:rsid w:val="006A7132"/>
    <w:rsid w:val="006B026B"/>
    <w:rsid w:val="006D2D22"/>
    <w:rsid w:val="006E34F9"/>
    <w:rsid w:val="006E41DE"/>
    <w:rsid w:val="006E571F"/>
    <w:rsid w:val="00704747"/>
    <w:rsid w:val="00714521"/>
    <w:rsid w:val="007451F1"/>
    <w:rsid w:val="00747627"/>
    <w:rsid w:val="0075105E"/>
    <w:rsid w:val="00751896"/>
    <w:rsid w:val="0075295E"/>
    <w:rsid w:val="007620D4"/>
    <w:rsid w:val="007743F2"/>
    <w:rsid w:val="00777A95"/>
    <w:rsid w:val="007806DC"/>
    <w:rsid w:val="0078566E"/>
    <w:rsid w:val="007B73E9"/>
    <w:rsid w:val="007C2B79"/>
    <w:rsid w:val="007E4935"/>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936D4"/>
    <w:rsid w:val="00894793"/>
    <w:rsid w:val="008979AA"/>
    <w:rsid w:val="008A4B0F"/>
    <w:rsid w:val="008B1CD8"/>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21D30"/>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413A"/>
    <w:rsid w:val="009B38CD"/>
    <w:rsid w:val="009B3950"/>
    <w:rsid w:val="009C7D06"/>
    <w:rsid w:val="009D1C1D"/>
    <w:rsid w:val="009D3937"/>
    <w:rsid w:val="009E5C15"/>
    <w:rsid w:val="009F7145"/>
    <w:rsid w:val="00A06630"/>
    <w:rsid w:val="00A2005A"/>
    <w:rsid w:val="00A21967"/>
    <w:rsid w:val="00A24447"/>
    <w:rsid w:val="00A26874"/>
    <w:rsid w:val="00A318B1"/>
    <w:rsid w:val="00A35E89"/>
    <w:rsid w:val="00A428A8"/>
    <w:rsid w:val="00A45D4D"/>
    <w:rsid w:val="00A45D92"/>
    <w:rsid w:val="00A5510A"/>
    <w:rsid w:val="00A62C17"/>
    <w:rsid w:val="00A639C0"/>
    <w:rsid w:val="00A63E34"/>
    <w:rsid w:val="00A66513"/>
    <w:rsid w:val="00A74A8D"/>
    <w:rsid w:val="00A76EB2"/>
    <w:rsid w:val="00A82D62"/>
    <w:rsid w:val="00A83850"/>
    <w:rsid w:val="00A87BE2"/>
    <w:rsid w:val="00AB30C2"/>
    <w:rsid w:val="00AB6694"/>
    <w:rsid w:val="00AC3F2A"/>
    <w:rsid w:val="00AD102A"/>
    <w:rsid w:val="00AD3AEE"/>
    <w:rsid w:val="00AE6E43"/>
    <w:rsid w:val="00AF487B"/>
    <w:rsid w:val="00AF538E"/>
    <w:rsid w:val="00B045A4"/>
    <w:rsid w:val="00B2261B"/>
    <w:rsid w:val="00B250C1"/>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4333"/>
    <w:rsid w:val="00BD6240"/>
    <w:rsid w:val="00BD7AAB"/>
    <w:rsid w:val="00BE15B8"/>
    <w:rsid w:val="00BE7319"/>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E11C5"/>
    <w:rsid w:val="00DE22E2"/>
    <w:rsid w:val="00DE64BB"/>
    <w:rsid w:val="00DE7929"/>
    <w:rsid w:val="00DF1533"/>
    <w:rsid w:val="00DF430E"/>
    <w:rsid w:val="00E05427"/>
    <w:rsid w:val="00E151C2"/>
    <w:rsid w:val="00E16ED7"/>
    <w:rsid w:val="00E309A2"/>
    <w:rsid w:val="00E33FE5"/>
    <w:rsid w:val="00E42CC9"/>
    <w:rsid w:val="00E5018D"/>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customXml" Target="ink/ink1.xm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7</cp:revision>
  <dcterms:created xsi:type="dcterms:W3CDTF">2025-07-18T21:16:00Z</dcterms:created>
  <dcterms:modified xsi:type="dcterms:W3CDTF">2025-07-31T22:30:00Z</dcterms:modified>
</cp:coreProperties>
</file>